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jc w:val="both"/>
        <w:textAlignment w:val="baseline"/>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jc w:val="both"/>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桂林市地震监测中心 2025 年预算公开说明</w:t>
      </w:r>
    </w:p>
    <w:p>
      <w:pPr>
        <w:keepNext w:val="0"/>
        <w:keepLines w:val="0"/>
        <w:pageBreakBefore w:val="0"/>
        <w:kinsoku/>
        <w:wordWrap/>
        <w:overflowPunct/>
        <w:topLinePunct/>
        <w:bidi w:val="0"/>
        <w:adjustRightInd w:val="0"/>
        <w:snapToGrid w:val="0"/>
        <w:spacing w:line="580" w:lineRule="exact"/>
        <w:ind w:left="3991"/>
        <w:jc w:val="both"/>
        <w:textAlignment w:val="baseline"/>
        <w:rPr>
          <w:rFonts w:ascii="黑体" w:hAnsi="黑体" w:eastAsia="黑体" w:cs="黑体"/>
          <w:sz w:val="31"/>
          <w:szCs w:val="31"/>
        </w:rPr>
      </w:pPr>
      <w:r>
        <w:rPr>
          <w:rFonts w:ascii="黑体" w:hAnsi="黑体" w:eastAsia="黑体" w:cs="黑体"/>
          <w:b/>
          <w:bCs/>
          <w:spacing w:val="-26"/>
          <w:sz w:val="31"/>
          <w:szCs w:val="31"/>
        </w:rPr>
        <w:t>目</w:t>
      </w:r>
      <w:r>
        <w:rPr>
          <w:rFonts w:ascii="黑体" w:hAnsi="黑体" w:eastAsia="黑体" w:cs="黑体"/>
          <w:spacing w:val="14"/>
          <w:sz w:val="31"/>
          <w:szCs w:val="31"/>
        </w:rPr>
        <w:t xml:space="preserve">  </w:t>
      </w:r>
      <w:r>
        <w:rPr>
          <w:rFonts w:ascii="黑体" w:hAnsi="黑体" w:eastAsia="黑体" w:cs="黑体"/>
          <w:b/>
          <w:bCs/>
          <w:spacing w:val="-26"/>
          <w:sz w:val="31"/>
          <w:szCs w:val="31"/>
        </w:rPr>
        <w:t>录</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第一部分：部门概况</w:t>
      </w:r>
    </w:p>
    <w:p>
      <w:pPr>
        <w:pStyle w:val="2"/>
        <w:keepNext w:val="0"/>
        <w:keepLines w:val="0"/>
        <w:pageBreakBefore w:val="0"/>
        <w:kinsoku/>
        <w:wordWrap/>
        <w:overflowPunct/>
        <w:topLinePunct/>
        <w:bidi w:val="0"/>
        <w:adjustRightInd w:val="0"/>
        <w:snapToGrid w:val="0"/>
        <w:spacing w:line="580" w:lineRule="exact"/>
        <w:ind w:left="471"/>
        <w:jc w:val="both"/>
        <w:textAlignment w:val="baseline"/>
        <w:rPr>
          <w:rFonts w:hint="eastAsia" w:ascii="仿宋_GB2312" w:hAnsi="仿宋_GB2312" w:eastAsia="仿宋_GB2312" w:cs="仿宋_GB2312"/>
        </w:rPr>
      </w:pPr>
      <w:r>
        <w:rPr>
          <w:rFonts w:hint="eastAsia" w:ascii="仿宋_GB2312" w:hAnsi="仿宋_GB2312" w:eastAsia="仿宋_GB2312" w:cs="仿宋_GB2312"/>
          <w:spacing w:val="-3"/>
        </w:rPr>
        <w:t>一、主要职能</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rPr>
      </w:pPr>
      <w:r>
        <w:rPr>
          <w:rFonts w:hint="eastAsia" w:ascii="仿宋_GB2312" w:hAnsi="仿宋_GB2312" w:eastAsia="仿宋_GB2312" w:cs="仿宋_GB2312"/>
          <w:spacing w:val="2"/>
        </w:rPr>
        <w:t>二、机构设置情况</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第二部分：桂林市地震监测中心2025年部门预算情况说明</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一、部门预算收支增减变化情况说明</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二、部门预算收入总体情况说明</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三、部门预算支出总体情况说明</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四、政府性基金预算支出情况说明</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五、国有资本经营预算支出情况说明</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六、一般公共预算“三公”经费支出情况说明</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七、机关运行经费安排情况说明</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八、政府采购预算安排情况说明</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九、国有资产占用情况说明</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十、预算绩效目标情况说明</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第三部分：名词解释</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第四部分：桂林市地震监测中心2025年预算公开报表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一、部门收支总体情况表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二、部门收入总体情况表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三、部门支出总体情况表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四、财政拨款收支总体情况表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五、一般公共预算支出情况表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六、一般公共预算基本支出情况表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七、一般公共预算“三公”经费支出情况表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八、政府性基金预算支出情况表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九、国有资本经营预算支出表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十、政府采购预算表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十一、部门预算支出经济分类表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十二、政府预算支出经济分类表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十三、项目支出（部门预算）绩效目标表</w:t>
      </w:r>
    </w:p>
    <w:p>
      <w:pPr>
        <w:pStyle w:val="2"/>
        <w:keepNext w:val="0"/>
        <w:keepLines w:val="0"/>
        <w:pageBreakBefore w:val="0"/>
        <w:kinsoku/>
        <w:wordWrap/>
        <w:overflowPunct/>
        <w:topLinePunct/>
        <w:bidi w:val="0"/>
        <w:adjustRightInd w:val="0"/>
        <w:snapToGrid w:val="0"/>
        <w:spacing w:line="580" w:lineRule="exact"/>
        <w:ind w:left="470"/>
        <w:jc w:val="both"/>
        <w:textAlignment w:val="baseline"/>
        <w:rPr>
          <w:rFonts w:hint="eastAsia" w:ascii="仿宋_GB2312" w:hAnsi="仿宋_GB2312" w:eastAsia="仿宋_GB2312" w:cs="仿宋_GB2312"/>
          <w:spacing w:val="2"/>
        </w:rPr>
      </w:pPr>
      <w:r>
        <w:rPr>
          <w:rFonts w:hint="eastAsia" w:ascii="仿宋_GB2312" w:hAnsi="仿宋_GB2312" w:eastAsia="仿宋_GB2312" w:cs="仿宋_GB2312"/>
          <w:spacing w:val="2"/>
        </w:rPr>
        <w:t>十四、项目支出（补助市县）绩效目标申报表</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428" w:firstLineChars="200"/>
        <w:jc w:val="both"/>
        <w:textAlignment w:val="baseline"/>
        <w:outlineLvl w:val="9"/>
        <w:rPr>
          <w:rFonts w:hint="eastAsia" w:ascii="仿宋_GB2312" w:hAnsi="仿宋_GB2312" w:eastAsia="仿宋_GB2312" w:cs="仿宋_GB2312"/>
          <w:spacing w:val="2"/>
        </w:rPr>
        <w:sectPr>
          <w:footerReference r:id="rId3" w:type="default"/>
          <w:pgSz w:w="11906" w:h="16839"/>
          <w:pgMar w:top="1431" w:right="1785" w:bottom="1467" w:left="1785" w:header="0" w:footer="1144" w:gutter="0"/>
        </w:sectPr>
      </w:pP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第一部分：部门概况</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3" w:firstLineChars="200"/>
        <w:jc w:val="both"/>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一、主要职责</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（一）负责地震观测信息网络系统的运行维护，负责地震速报、地震预警、地震应急相关技术服务工作。指导县（市、 区）地震监测台网（站、点）、地震预警信息系统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地震宏观观测网的建设、运行和维护。</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（二）负责与地震有关的异常现象调查核实工作。根据地震活动趋势和震害预测结果，提出本区域地震趋势预报意见。</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（三）负责防震减灾科普宣传教育工作，开展地震监测科学研究及其成果的推广应用。</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（四）协助开展本区域内地震烈度区划成果的应用，做好地震安全性风险评估等技术性工作。</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（五）参与地震灾害调查与损失评估，协助做好防范地震次生灾害，提出地震灾区重建防震规划的意见。</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完</w:t>
      </w:r>
      <w:r>
        <w:rPr>
          <w:rFonts w:hint="eastAsia" w:ascii="仿宋_GB2312" w:hAnsi="仿宋_GB2312" w:eastAsia="仿宋_GB2312" w:cs="仿宋_GB2312"/>
          <w:sz w:val="32"/>
          <w:szCs w:val="32"/>
        </w:rPr>
        <w:t>成主管部门交办的其他任务。</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3" w:firstLineChars="200"/>
        <w:jc w:val="both"/>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二、机构设置情况</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桂林市地震监测中心设下列内设机构：</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（一）防震技术科。</w:t>
      </w:r>
      <w:r>
        <w:rPr>
          <w:rFonts w:hint="eastAsia" w:ascii="仿宋_GB2312" w:hAnsi="仿宋_GB2312" w:eastAsia="仿宋_GB2312" w:cs="仿宋_GB2312"/>
          <w:sz w:val="32"/>
          <w:szCs w:val="32"/>
        </w:rPr>
        <w:t>负责单位日常运作工作。负责文电、会务、信息、人事、劳资、后勤服务等工作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组织防震减灾科普宣传教育工作；组织地震监测科学研究及成果的推广应用；负责地震烈度区划、地震安全性风险评估等技术性工作；负责震时技术服务保障工作。</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（二）监测预警科。</w:t>
      </w:r>
      <w:r>
        <w:rPr>
          <w:rFonts w:hint="eastAsia" w:ascii="仿宋_GB2312" w:hAnsi="仿宋_GB2312" w:eastAsia="仿宋_GB2312" w:cs="仿宋_GB2312"/>
          <w:sz w:val="32"/>
          <w:szCs w:val="32"/>
        </w:rPr>
        <w:t>负责地震观测信息网络系统的运行维护及地震速报、地震预警、地震应急相关技术服务工作；指导县（市、区）地震监测台网（站、点）、地震预警信息系统、地震宏观观测网的建设、运行和维护；组织与地震有关的异常现象调查核实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提出本区域地震趋势预报意见。</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第二部分：桂林市地震监测中心2025年部门预算情况说明</w:t>
      </w:r>
    </w:p>
    <w:p>
      <w:pPr>
        <w:keepNext w:val="0"/>
        <w:keepLines w:val="0"/>
        <w:pageBreakBefore w:val="0"/>
        <w:kinsoku/>
        <w:wordWrap/>
        <w:overflowPunct/>
        <w:topLinePunct/>
        <w:bidi w:val="0"/>
        <w:adjustRightInd w:val="0"/>
        <w:snapToGrid w:val="0"/>
        <w:spacing w:line="580" w:lineRule="exact"/>
        <w:ind w:left="656"/>
        <w:jc w:val="both"/>
        <w:textAlignment w:val="baseline"/>
        <w:rPr>
          <w:rFonts w:ascii="黑体" w:hAnsi="黑体" w:eastAsia="黑体" w:cs="黑体"/>
          <w:b w:val="0"/>
          <w:bCs w:val="0"/>
          <w:sz w:val="31"/>
          <w:szCs w:val="31"/>
        </w:rPr>
      </w:pPr>
      <w:r>
        <w:rPr>
          <w:rFonts w:ascii="黑体" w:hAnsi="黑体" w:eastAsia="黑体" w:cs="黑体"/>
          <w:b w:val="0"/>
          <w:bCs w:val="0"/>
          <w:spacing w:val="5"/>
          <w:sz w:val="31"/>
          <w:szCs w:val="31"/>
        </w:rPr>
        <w:t>一、部门预算收支增减变化情况说明</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 年收支总预算224.67万元（不含财政拨款上年未列支结转收支数），同比减少45.58万元，</w:t>
      </w:r>
      <w:bookmarkStart w:id="0" w:name="_GoBack"/>
      <w:bookmarkEnd w:id="0"/>
      <w:r>
        <w:rPr>
          <w:rFonts w:hint="eastAsia" w:ascii="仿宋_GB2312" w:hAnsi="仿宋_GB2312" w:eastAsia="仿宋_GB2312" w:cs="仿宋_GB2312"/>
          <w:sz w:val="32"/>
          <w:szCs w:val="32"/>
        </w:rPr>
        <w:t>下降16.87%。收入包括：一般公共预算;支出包括：社会保障和就业支出、卫生健康支出、农林水支出、住房保障支出、灾害防治及应急管理支出。总收支预算减少的主要原因是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1.自治区地震局上级转移支付资金减少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2.2024年调出副处级干部1名。</w:t>
      </w:r>
    </w:p>
    <w:p>
      <w:pPr>
        <w:keepNext w:val="0"/>
        <w:keepLines w:val="0"/>
        <w:pageBreakBefore w:val="0"/>
        <w:kinsoku/>
        <w:wordWrap/>
        <w:overflowPunct/>
        <w:topLinePunct/>
        <w:bidi w:val="0"/>
        <w:adjustRightInd w:val="0"/>
        <w:snapToGrid w:val="0"/>
        <w:spacing w:line="580" w:lineRule="exact"/>
        <w:ind w:left="654"/>
        <w:jc w:val="both"/>
        <w:textAlignment w:val="baseline"/>
        <w:rPr>
          <w:rFonts w:ascii="黑体" w:hAnsi="黑体" w:eastAsia="黑体" w:cs="黑体"/>
          <w:b w:val="0"/>
          <w:bCs w:val="0"/>
          <w:sz w:val="31"/>
          <w:szCs w:val="31"/>
        </w:rPr>
      </w:pPr>
      <w:r>
        <w:rPr>
          <w:rFonts w:ascii="黑体" w:hAnsi="黑体" w:eastAsia="黑体" w:cs="黑体"/>
          <w:b w:val="0"/>
          <w:bCs w:val="0"/>
          <w:spacing w:val="5"/>
          <w:sz w:val="31"/>
          <w:szCs w:val="31"/>
        </w:rPr>
        <w:t>二、部门预算收入总体情况说明</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2025年总收入预算224.67万元，同比减少45.58万元，下降16.87%，总收入预算减少的主要原因是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1.自治区地震局上级转移支付资金减少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2.2024年调出副处级干部1名。</w:t>
      </w:r>
    </w:p>
    <w:p>
      <w:pPr>
        <w:keepNext w:val="0"/>
        <w:keepLines w:val="0"/>
        <w:pageBreakBefore w:val="0"/>
        <w:kinsoku/>
        <w:wordWrap/>
        <w:overflowPunct/>
        <w:topLinePunct/>
        <w:bidi w:val="0"/>
        <w:adjustRightInd w:val="0"/>
        <w:snapToGrid w:val="0"/>
        <w:spacing w:line="580" w:lineRule="exact"/>
        <w:ind w:left="653"/>
        <w:jc w:val="both"/>
        <w:textAlignment w:val="baseline"/>
        <w:rPr>
          <w:rFonts w:ascii="黑体" w:hAnsi="黑体" w:eastAsia="黑体" w:cs="黑体"/>
          <w:b w:val="0"/>
          <w:bCs w:val="0"/>
          <w:sz w:val="31"/>
          <w:szCs w:val="31"/>
        </w:rPr>
      </w:pPr>
      <w:r>
        <w:rPr>
          <w:rFonts w:ascii="黑体" w:hAnsi="黑体" w:eastAsia="黑体" w:cs="黑体"/>
          <w:b w:val="0"/>
          <w:bCs w:val="0"/>
          <w:spacing w:val="5"/>
          <w:sz w:val="31"/>
          <w:szCs w:val="31"/>
        </w:rPr>
        <w:t>三、部门预算支出总体情况说明</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 年支出总预算224.6</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万元，同比减少45.58万元，下降16.87%。其中：基本支出 206.21万元，占支出总预算 91.78%；项目支出18.46万元，占支出总预算8.22%。总支出预算减少的主要原因是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1.自治区地震局上级转移支付资金减少；2.2024年调出副处级干部1名。</w:t>
      </w:r>
    </w:p>
    <w:p>
      <w:pPr>
        <w:keepNext w:val="0"/>
        <w:keepLines w:val="0"/>
        <w:pageBreakBefore w:val="0"/>
        <w:kinsoku/>
        <w:wordWrap/>
        <w:overflowPunct/>
        <w:topLinePunct/>
        <w:bidi w:val="0"/>
        <w:adjustRightInd w:val="0"/>
        <w:snapToGrid w:val="0"/>
        <w:spacing w:line="580" w:lineRule="exact"/>
        <w:ind w:left="663"/>
        <w:jc w:val="both"/>
        <w:textAlignment w:val="baseline"/>
        <w:rPr>
          <w:rFonts w:ascii="黑体" w:hAnsi="黑体" w:eastAsia="黑体" w:cs="黑体"/>
          <w:b w:val="0"/>
          <w:bCs w:val="0"/>
          <w:sz w:val="31"/>
          <w:szCs w:val="31"/>
        </w:rPr>
      </w:pPr>
      <w:r>
        <w:rPr>
          <w:rFonts w:ascii="黑体" w:hAnsi="黑体" w:eastAsia="黑体" w:cs="黑体"/>
          <w:b w:val="0"/>
          <w:bCs w:val="0"/>
          <w:spacing w:val="4"/>
          <w:sz w:val="31"/>
          <w:szCs w:val="31"/>
        </w:rPr>
        <w:t>四、政府性基金预算支出情况说明</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我单位2025年政府性基金预算支出共0万元，同比减少 5.00万元，下降100.00%。2025年政府性基金预算支出减少的主要原因是根据财政局通知，政府性基金资金改为一般公共预算资金。</w:t>
      </w:r>
    </w:p>
    <w:p>
      <w:pPr>
        <w:pStyle w:val="2"/>
        <w:keepNext w:val="0"/>
        <w:keepLines w:val="0"/>
        <w:pageBreakBefore w:val="0"/>
        <w:kinsoku/>
        <w:wordWrap/>
        <w:overflowPunct/>
        <w:topLinePunct/>
        <w:bidi w:val="0"/>
        <w:adjustRightInd w:val="0"/>
        <w:snapToGrid w:val="0"/>
        <w:spacing w:line="580" w:lineRule="exact"/>
        <w:ind w:left="664" w:right="3139" w:hanging="2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ascii="黑体" w:hAnsi="黑体" w:eastAsia="黑体" w:cs="黑体"/>
          <w:b w:val="0"/>
          <w:bCs w:val="0"/>
          <w:spacing w:val="5"/>
        </w:rPr>
        <w:t>五、国有资本经营预算支出情况说明</w:t>
      </w:r>
      <w:r>
        <w:rPr>
          <w:rFonts w:ascii="黑体" w:hAnsi="黑体" w:eastAsia="黑体" w:cs="黑体"/>
          <w:b w:val="0"/>
          <w:bCs w:val="0"/>
          <w:spacing w:val="12"/>
        </w:rPr>
        <w:t xml:space="preserve"> </w:t>
      </w:r>
      <w:r>
        <w:rPr>
          <w:rFonts w:hint="eastAsia" w:ascii="仿宋_GB2312" w:hAnsi="仿宋_GB2312" w:eastAsia="仿宋_GB2312" w:cs="仿宋_GB2312"/>
          <w:snapToGrid w:val="0"/>
          <w:color w:val="000000"/>
          <w:kern w:val="0"/>
          <w:sz w:val="32"/>
          <w:szCs w:val="32"/>
          <w:lang w:val="en-US" w:eastAsia="en-US" w:bidi="ar-SA"/>
        </w:rPr>
        <w:t>我单位2025年无国有资本经营预算</w:t>
      </w:r>
      <w:r>
        <w:rPr>
          <w:rFonts w:hint="eastAsia" w:ascii="仿宋_GB2312" w:hAnsi="仿宋_GB2312" w:eastAsia="仿宋_GB2312" w:cs="仿宋_GB2312"/>
          <w:snapToGrid w:val="0"/>
          <w:color w:val="000000"/>
          <w:kern w:val="0"/>
          <w:sz w:val="32"/>
          <w:szCs w:val="32"/>
          <w:lang w:val="en-US" w:eastAsia="zh-CN" w:bidi="ar-SA"/>
        </w:rPr>
        <w:t>。</w:t>
      </w:r>
    </w:p>
    <w:p>
      <w:pPr>
        <w:keepNext w:val="0"/>
        <w:keepLines w:val="0"/>
        <w:pageBreakBefore w:val="0"/>
        <w:kinsoku/>
        <w:wordWrap/>
        <w:overflowPunct/>
        <w:topLinePunct/>
        <w:bidi w:val="0"/>
        <w:adjustRightInd w:val="0"/>
        <w:snapToGrid w:val="0"/>
        <w:spacing w:line="580" w:lineRule="exact"/>
        <w:ind w:left="644"/>
        <w:jc w:val="both"/>
        <w:textAlignment w:val="baseline"/>
        <w:rPr>
          <w:rFonts w:ascii="黑体" w:hAnsi="黑体" w:eastAsia="黑体" w:cs="黑体"/>
          <w:b w:val="0"/>
          <w:bCs w:val="0"/>
          <w:sz w:val="31"/>
          <w:szCs w:val="31"/>
        </w:rPr>
      </w:pPr>
      <w:r>
        <w:rPr>
          <w:rFonts w:ascii="黑体" w:hAnsi="黑体" w:eastAsia="黑体" w:cs="黑体"/>
          <w:b w:val="0"/>
          <w:bCs w:val="0"/>
          <w:spacing w:val="3"/>
          <w:sz w:val="31"/>
          <w:szCs w:val="31"/>
        </w:rPr>
        <w:t>六、一般公共预算“三公</w:t>
      </w:r>
      <w:r>
        <w:rPr>
          <w:rFonts w:ascii="黑体" w:hAnsi="黑体" w:eastAsia="黑体" w:cs="黑体"/>
          <w:b w:val="0"/>
          <w:bCs w:val="0"/>
          <w:spacing w:val="-98"/>
          <w:sz w:val="31"/>
          <w:szCs w:val="31"/>
        </w:rPr>
        <w:t xml:space="preserve"> </w:t>
      </w:r>
      <w:r>
        <w:rPr>
          <w:rFonts w:ascii="黑体" w:hAnsi="黑体" w:eastAsia="黑体" w:cs="黑体"/>
          <w:b w:val="0"/>
          <w:bCs w:val="0"/>
          <w:spacing w:val="3"/>
          <w:sz w:val="31"/>
          <w:szCs w:val="31"/>
        </w:rPr>
        <w:t>”经费支出情况说明</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2025年一般公共预算安排的“三公”经费支出预算0.14 万元，同比减少0.02万元，下降10.00%，具体如下：</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（一）因公出国（境）费2025年预算安排0万元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与上年 持平。</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（二）公务用车购置及运行费2025年预算安排0万元，与上年持平，其中：</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公务用车购置费2025年预算安排0万元，与上年持平；</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公务用车运行维护费2025年预算安排0万元，与上年持平。</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（三）公务接待费2025年预算安排0.14万元，同比减少 0.02万元，下降10.00%，减少的主要原因是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厉行勤俭节约，严格遵守中央八项规定，按规定开展公务接待。</w:t>
      </w:r>
    </w:p>
    <w:p>
      <w:pPr>
        <w:keepNext w:val="0"/>
        <w:keepLines w:val="0"/>
        <w:pageBreakBefore w:val="0"/>
        <w:kinsoku/>
        <w:wordWrap/>
        <w:overflowPunct/>
        <w:topLinePunct/>
        <w:bidi w:val="0"/>
        <w:adjustRightInd w:val="0"/>
        <w:snapToGrid w:val="0"/>
        <w:spacing w:line="580" w:lineRule="exact"/>
        <w:ind w:left="640"/>
        <w:jc w:val="both"/>
        <w:textAlignment w:val="baseline"/>
        <w:rPr>
          <w:rFonts w:ascii="黑体" w:hAnsi="黑体" w:eastAsia="黑体" w:cs="黑体"/>
          <w:b w:val="0"/>
          <w:bCs w:val="0"/>
          <w:sz w:val="31"/>
          <w:szCs w:val="31"/>
        </w:rPr>
      </w:pPr>
      <w:r>
        <w:rPr>
          <w:rFonts w:ascii="黑体" w:hAnsi="黑体" w:eastAsia="黑体" w:cs="黑体"/>
          <w:b w:val="0"/>
          <w:bCs w:val="0"/>
          <w:spacing w:val="5"/>
          <w:sz w:val="31"/>
          <w:szCs w:val="31"/>
        </w:rPr>
        <w:t>七、机关运行经费安排情况说明</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我单位2025年机关运行经费主要包括办公费、印刷费、 邮电费、差旅费、维修（护）费、会议费、培训费、公务接待费、工会经费、福利费、其他交通费用、其他商品和服务支出。我单位2025年机关运行经费预算22.13万元，同比减少 2.30万元，下降9.40%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机关运行经费减少的主要原因是2024年度调出副处级干部1名。</w:t>
      </w:r>
    </w:p>
    <w:p>
      <w:pPr>
        <w:keepNext w:val="0"/>
        <w:keepLines w:val="0"/>
        <w:pageBreakBefore w:val="0"/>
        <w:kinsoku/>
        <w:wordWrap/>
        <w:overflowPunct/>
        <w:topLinePunct/>
        <w:bidi w:val="0"/>
        <w:adjustRightInd w:val="0"/>
        <w:snapToGrid w:val="0"/>
        <w:spacing w:line="580" w:lineRule="exact"/>
        <w:ind w:left="678"/>
        <w:jc w:val="both"/>
        <w:textAlignment w:val="baseline"/>
        <w:rPr>
          <w:rFonts w:ascii="黑体" w:hAnsi="黑体" w:eastAsia="黑体" w:cs="黑体"/>
          <w:sz w:val="31"/>
          <w:szCs w:val="31"/>
        </w:rPr>
      </w:pPr>
      <w:r>
        <w:rPr>
          <w:rFonts w:ascii="黑体" w:hAnsi="黑体" w:eastAsia="黑体" w:cs="黑体"/>
          <w:b w:val="0"/>
          <w:bCs w:val="0"/>
          <w:spacing w:val="6"/>
          <w:sz w:val="31"/>
          <w:szCs w:val="31"/>
        </w:rPr>
        <w:t>八、政府采购预算安排情况说明</w:t>
      </w:r>
    </w:p>
    <w:p>
      <w:pPr>
        <w:pStyle w:val="2"/>
        <w:keepNext w:val="0"/>
        <w:keepLines w:val="0"/>
        <w:pageBreakBefore w:val="0"/>
        <w:kinsoku/>
        <w:wordWrap/>
        <w:overflowPunct/>
        <w:topLinePunct/>
        <w:bidi w:val="0"/>
        <w:adjustRightInd w:val="0"/>
        <w:snapToGrid w:val="0"/>
        <w:spacing w:line="580" w:lineRule="exact"/>
        <w:ind w:left="67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2025年政府采购预算总金额0万元，与上年持平。</w:t>
      </w:r>
    </w:p>
    <w:p>
      <w:pPr>
        <w:pStyle w:val="2"/>
        <w:keepNext w:val="0"/>
        <w:keepLines w:val="0"/>
        <w:pageBreakBefore w:val="0"/>
        <w:kinsoku/>
        <w:wordWrap/>
        <w:overflowPunct/>
        <w:topLinePunct/>
        <w:bidi w:val="0"/>
        <w:adjustRightInd w:val="0"/>
        <w:snapToGrid w:val="0"/>
        <w:spacing w:line="580" w:lineRule="exact"/>
        <w:ind w:left="54" w:right="108" w:firstLine="63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集中采购预算0万元，占政府采购预算0%，与上年持平， 其中：货物类0万元、工程类0万元、服务类0万元。</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分散采购预算0万元，占政府采购预算0%，与上年持平， 其中：货物类0万元、工程类0万元、服务类0万元。</w:t>
      </w:r>
    </w:p>
    <w:p>
      <w:pPr>
        <w:keepNext w:val="0"/>
        <w:keepLines w:val="0"/>
        <w:pageBreakBefore w:val="0"/>
        <w:kinsoku/>
        <w:wordWrap/>
        <w:overflowPunct/>
        <w:topLinePunct/>
        <w:bidi w:val="0"/>
        <w:adjustRightInd w:val="0"/>
        <w:snapToGrid w:val="0"/>
        <w:spacing w:line="580" w:lineRule="exact"/>
        <w:ind w:left="677"/>
        <w:jc w:val="both"/>
        <w:textAlignment w:val="baseline"/>
        <w:rPr>
          <w:rFonts w:ascii="黑体" w:hAnsi="黑体" w:eastAsia="黑体" w:cs="黑体"/>
          <w:b w:val="0"/>
          <w:bCs w:val="0"/>
          <w:sz w:val="31"/>
          <w:szCs w:val="31"/>
        </w:rPr>
      </w:pPr>
      <w:r>
        <w:rPr>
          <w:rFonts w:ascii="黑体" w:hAnsi="黑体" w:eastAsia="黑体" w:cs="黑体"/>
          <w:b w:val="0"/>
          <w:bCs w:val="0"/>
          <w:spacing w:val="6"/>
          <w:sz w:val="31"/>
          <w:szCs w:val="31"/>
        </w:rPr>
        <w:t>九、国有资产占用情况说明</w:t>
      </w:r>
    </w:p>
    <w:p>
      <w:pPr>
        <w:pStyle w:val="2"/>
        <w:keepNext w:val="0"/>
        <w:keepLines w:val="0"/>
        <w:pageBreakBefore w:val="0"/>
        <w:kinsoku/>
        <w:wordWrap/>
        <w:overflowPunct/>
        <w:topLinePunct/>
        <w:bidi w:val="0"/>
        <w:adjustRightInd w:val="0"/>
        <w:snapToGrid w:val="0"/>
        <w:spacing w:line="580" w:lineRule="exact"/>
        <w:ind w:left="67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我单位2025年无国有资产占用相关情况。</w:t>
      </w:r>
    </w:p>
    <w:p>
      <w:pPr>
        <w:keepNext w:val="0"/>
        <w:keepLines w:val="0"/>
        <w:pageBreakBefore w:val="0"/>
        <w:kinsoku/>
        <w:wordWrap/>
        <w:overflowPunct/>
        <w:topLinePunct/>
        <w:bidi w:val="0"/>
        <w:adjustRightInd w:val="0"/>
        <w:snapToGrid w:val="0"/>
        <w:spacing w:line="580" w:lineRule="exact"/>
        <w:ind w:left="697"/>
        <w:jc w:val="both"/>
        <w:textAlignment w:val="baseline"/>
        <w:rPr>
          <w:rFonts w:ascii="黑体" w:hAnsi="黑体" w:eastAsia="黑体" w:cs="黑体"/>
          <w:sz w:val="31"/>
          <w:szCs w:val="31"/>
        </w:rPr>
      </w:pPr>
      <w:r>
        <w:rPr>
          <w:rFonts w:ascii="黑体" w:hAnsi="黑体" w:eastAsia="黑体" w:cs="黑体"/>
          <w:b w:val="0"/>
          <w:bCs w:val="0"/>
          <w:spacing w:val="4"/>
          <w:sz w:val="31"/>
          <w:szCs w:val="31"/>
        </w:rPr>
        <w:t>十、预算绩效目标情况说明</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（一）我部门2025年所有项目支出全面实施绩效目标管理涉及市本级项目4个，预算资金18.46万元。绩效目标情况详见报表。</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（二）重点项目预算绩效目标说明。</w:t>
      </w:r>
    </w:p>
    <w:tbl>
      <w:tblPr>
        <w:tblStyle w:val="6"/>
        <w:tblW w:w="89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62"/>
        <w:gridCol w:w="2858"/>
        <w:gridCol w:w="34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7" w:hRule="atLeast"/>
        </w:trPr>
        <w:tc>
          <w:tcPr>
            <w:tcW w:w="2662" w:type="dxa"/>
            <w:vAlign w:val="center"/>
          </w:tcPr>
          <w:p>
            <w:pPr>
              <w:pStyle w:val="2"/>
              <w:keepNext w:val="0"/>
              <w:keepLines w:val="0"/>
              <w:pageBreakBefore w:val="0"/>
              <w:kinsoku/>
              <w:wordWrap/>
              <w:overflowPunct/>
              <w:topLinePunct/>
              <w:bidi w:val="0"/>
              <w:adjustRightInd w:val="0"/>
              <w:snapToGrid w:val="0"/>
              <w:spacing w:line="580" w:lineRule="exact"/>
              <w:ind w:right="108"/>
              <w:jc w:val="center"/>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项目名称</w:t>
            </w:r>
          </w:p>
        </w:tc>
        <w:tc>
          <w:tcPr>
            <w:tcW w:w="2858" w:type="dxa"/>
            <w:vAlign w:val="center"/>
          </w:tcPr>
          <w:p>
            <w:pPr>
              <w:pStyle w:val="2"/>
              <w:keepNext w:val="0"/>
              <w:keepLines w:val="0"/>
              <w:pageBreakBefore w:val="0"/>
              <w:kinsoku/>
              <w:wordWrap/>
              <w:overflowPunct/>
              <w:topLinePunct/>
              <w:bidi w:val="0"/>
              <w:adjustRightInd w:val="0"/>
              <w:snapToGrid w:val="0"/>
              <w:spacing w:line="580" w:lineRule="exact"/>
              <w:ind w:right="108"/>
              <w:jc w:val="center"/>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预算数（单位：</w:t>
            </w:r>
          </w:p>
          <w:p>
            <w:pPr>
              <w:pStyle w:val="2"/>
              <w:keepNext w:val="0"/>
              <w:keepLines w:val="0"/>
              <w:pageBreakBefore w:val="0"/>
              <w:kinsoku/>
              <w:wordWrap/>
              <w:overflowPunct/>
              <w:topLinePunct/>
              <w:bidi w:val="0"/>
              <w:adjustRightInd w:val="0"/>
              <w:snapToGrid w:val="0"/>
              <w:spacing w:line="580" w:lineRule="exact"/>
              <w:ind w:left="54" w:right="108" w:firstLine="629"/>
              <w:jc w:val="center"/>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万元）</w:t>
            </w:r>
          </w:p>
        </w:tc>
        <w:tc>
          <w:tcPr>
            <w:tcW w:w="3416" w:type="dxa"/>
            <w:vAlign w:val="center"/>
          </w:tcPr>
          <w:p>
            <w:pPr>
              <w:pStyle w:val="2"/>
              <w:keepNext w:val="0"/>
              <w:keepLines w:val="0"/>
              <w:pageBreakBefore w:val="0"/>
              <w:kinsoku/>
              <w:wordWrap/>
              <w:overflowPunct/>
              <w:topLinePunct/>
              <w:bidi w:val="0"/>
              <w:adjustRightInd w:val="0"/>
              <w:snapToGrid w:val="0"/>
              <w:spacing w:line="580" w:lineRule="exact"/>
              <w:ind w:right="108"/>
              <w:jc w:val="center"/>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绩效目标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98" w:hRule="atLeast"/>
        </w:trPr>
        <w:tc>
          <w:tcPr>
            <w:tcW w:w="2662" w:type="dxa"/>
            <w:vAlign w:val="center"/>
          </w:tcPr>
          <w:p>
            <w:pPr>
              <w:pStyle w:val="2"/>
              <w:keepNext w:val="0"/>
              <w:keepLines w:val="0"/>
              <w:pageBreakBefore w:val="0"/>
              <w:kinsoku/>
              <w:wordWrap/>
              <w:overflowPunct/>
              <w:topLinePunct/>
              <w:bidi w:val="0"/>
              <w:adjustRightInd w:val="0"/>
              <w:snapToGrid w:val="0"/>
              <w:spacing w:line="580" w:lineRule="exact"/>
              <w:ind w:right="108"/>
              <w:jc w:val="center"/>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残疾人保障金</w:t>
            </w:r>
          </w:p>
        </w:tc>
        <w:tc>
          <w:tcPr>
            <w:tcW w:w="2858" w:type="dxa"/>
            <w:vAlign w:val="center"/>
          </w:tcPr>
          <w:p>
            <w:pPr>
              <w:pStyle w:val="2"/>
              <w:keepNext w:val="0"/>
              <w:keepLines w:val="0"/>
              <w:pageBreakBefore w:val="0"/>
              <w:kinsoku/>
              <w:wordWrap/>
              <w:overflowPunct/>
              <w:topLinePunct/>
              <w:bidi w:val="0"/>
              <w:adjustRightInd w:val="0"/>
              <w:snapToGrid w:val="0"/>
              <w:spacing w:line="580" w:lineRule="exact"/>
              <w:ind w:right="108"/>
              <w:jc w:val="center"/>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2.20</w:t>
            </w:r>
          </w:p>
        </w:tc>
        <w:tc>
          <w:tcPr>
            <w:tcW w:w="3416" w:type="dxa"/>
            <w:vAlign w:val="center"/>
          </w:tcPr>
          <w:p>
            <w:pPr>
              <w:pStyle w:val="2"/>
              <w:keepNext w:val="0"/>
              <w:keepLines w:val="0"/>
              <w:pageBreakBefore w:val="0"/>
              <w:kinsoku/>
              <w:wordWrap/>
              <w:overflowPunct/>
              <w:topLinePunct/>
              <w:bidi w:val="0"/>
              <w:adjustRightInd w:val="0"/>
              <w:snapToGrid w:val="0"/>
              <w:spacing w:line="580" w:lineRule="exact"/>
              <w:ind w:right="108"/>
              <w:jc w:val="center"/>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按照时间节点，按时足额缴纳残保金。</w:t>
            </w:r>
          </w:p>
        </w:tc>
      </w:tr>
    </w:tbl>
    <w:p>
      <w:pPr>
        <w:keepNext w:val="0"/>
        <w:keepLines w:val="0"/>
        <w:pageBreakBefore w:val="0"/>
        <w:kinsoku/>
        <w:wordWrap/>
        <w:overflowPunct/>
        <w:topLinePunct/>
        <w:bidi w:val="0"/>
        <w:adjustRightInd w:val="0"/>
        <w:snapToGrid w:val="0"/>
        <w:spacing w:line="580" w:lineRule="exact"/>
        <w:jc w:val="both"/>
        <w:textAlignment w:val="baseline"/>
        <w:rPr>
          <w:rFonts w:ascii="Arial"/>
          <w:sz w:val="21"/>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第三部分：名词解释</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一、财政拨款收入：指桂林市财政部门当年拨付的资金。</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二、事业收入：指事业单位开展专业业务活动及辅助活动所取得的收入。</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三、经营收入：指事业单位在专业业务活动及其辅助活动之外开展非独立核算经营活动取得的收入。</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四、其他收入：指除上述“财政拨款收入”“事业收入”“经营收入”等以外的收入。</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五、上年结转和结余：指本年度或以前年度预算安排、 因客观条件发生变化无法按原计划实施，需要延迟到以后年度按有关规定继续使用的资金。</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六、基本支出：指为保障机构正常运转、完成日常工作任务而发生的人员支出和公用支出。</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七、项目支出：指在基本支出之外为完成特定行政任务和事业发展目标所发生的支出。</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八、“三公”经费：纳入桂林市财政局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 安全奖励费用等支出；公务接待费反映单位按规定开支的各类公务接待（含外宾接待）支出。</w:t>
      </w:r>
    </w:p>
    <w:p>
      <w:pPr>
        <w:pStyle w:val="2"/>
        <w:keepNext w:val="0"/>
        <w:keepLines w:val="0"/>
        <w:pageBreakBefore w:val="0"/>
        <w:widowControl/>
        <w:kinsoku/>
        <w:wordWrap/>
        <w:overflowPunct/>
        <w:topLinePunct/>
        <w:autoSpaceDE w:val="0"/>
        <w:autoSpaceDN w:val="0"/>
        <w:bidi w:val="0"/>
        <w:adjustRightInd w:val="0"/>
        <w:snapToGrid w:val="0"/>
        <w:spacing w:line="580" w:lineRule="exact"/>
        <w:ind w:left="54" w:leftChars="0" w:right="108" w:rightChars="0" w:firstLine="629"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九、机关（事业单位）运行经费</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为保障机关单位（含行政单位、参照公务员法管理的事业单位、机关服务中心）或事业单位（含非参照公务员法管理的事业单位、公益二类、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baseline"/>
        <w:outlineLvl w:val="9"/>
        <w:rPr>
          <w:rFonts w:hint="eastAsia" w:ascii="黑体" w:hAnsi="黑体" w:eastAsia="黑体" w:cs="黑体"/>
          <w:sz w:val="32"/>
          <w:szCs w:val="32"/>
        </w:rPr>
      </w:pPr>
      <w:r>
        <w:rPr>
          <w:rFonts w:hint="eastAsia" w:ascii="黑体" w:hAnsi="黑体" w:eastAsia="黑体" w:cs="黑体"/>
          <w:sz w:val="32"/>
          <w:szCs w:val="32"/>
        </w:rPr>
        <w:t>第四部分：桂林市地震监测中心 2025 年预算公开报表</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一、部门收支总体情况表（表 1）</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二、部门收入总体情况表（表 2）</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三、部门支出总体情况表（表 3）</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四、财政拨款收支总体情况表（表 4）</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五、一般公共预算支出情况表（表 5）</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六、一般公共预算基本支出情况表（表 6）</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七、一般公共预算“ 三公” 经费支出情况表（表 7）</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八、政府性基金预算支出情况表（表 8）</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九、国有资本经营预算支出表（表 9）</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十、政府采购预算表（表 10）</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十一、部门预算支出经济分类表（表 11）</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十二、政府预算支出经济分类表（表 12）</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十三、项目支出（部门预算）绩效目标申报表（表13）</w:t>
      </w:r>
    </w:p>
    <w:p>
      <w:pPr>
        <w:pStyle w:val="2"/>
        <w:keepNext w:val="0"/>
        <w:keepLines w:val="0"/>
        <w:pageBreakBefore w:val="0"/>
        <w:kinsoku/>
        <w:wordWrap/>
        <w:overflowPunct/>
        <w:topLinePunct/>
        <w:bidi w:val="0"/>
        <w:adjustRightInd w:val="0"/>
        <w:snapToGrid w:val="0"/>
        <w:spacing w:line="580" w:lineRule="exact"/>
        <w:ind w:left="54" w:right="108" w:firstLine="629"/>
        <w:jc w:val="both"/>
        <w:textAlignment w:val="baseline"/>
        <w:rPr>
          <w:rFonts w:ascii="黑体" w:hAnsi="黑体" w:eastAsia="黑体" w:cs="黑体"/>
        </w:rPr>
      </w:pPr>
      <w:r>
        <w:rPr>
          <w:rFonts w:hint="eastAsia" w:ascii="仿宋_GB2312" w:hAnsi="仿宋_GB2312" w:eastAsia="仿宋_GB2312" w:cs="仿宋_GB2312"/>
          <w:snapToGrid w:val="0"/>
          <w:color w:val="000000"/>
          <w:kern w:val="0"/>
          <w:sz w:val="32"/>
          <w:szCs w:val="32"/>
          <w:lang w:val="en-US" w:eastAsia="en-US" w:bidi="ar-SA"/>
        </w:rPr>
        <w:t xml:space="preserve">十四、项目支出（补助市县）绩效目标申报表（表14） </w:t>
      </w:r>
      <w:r>
        <w:rPr>
          <w:rFonts w:ascii="黑体" w:hAnsi="黑体" w:eastAsia="黑体" w:cs="黑体"/>
          <w:b/>
          <w:bCs/>
          <w:spacing w:val="11"/>
        </w:rPr>
        <w:t>上述报表详见附件。</w:t>
      </w:r>
    </w:p>
    <w:p>
      <w:pPr>
        <w:pStyle w:val="2"/>
        <w:keepNext w:val="0"/>
        <w:keepLines w:val="0"/>
        <w:pageBreakBefore w:val="0"/>
        <w:kinsoku/>
        <w:wordWrap/>
        <w:overflowPunct/>
        <w:topLinePunct/>
        <w:bidi w:val="0"/>
        <w:adjustRightInd w:val="0"/>
        <w:snapToGrid w:val="0"/>
        <w:spacing w:line="580" w:lineRule="exact"/>
        <w:ind w:firstLine="671"/>
        <w:jc w:val="both"/>
        <w:textAlignment w:val="baseline"/>
        <w:rPr>
          <w:rFonts w:hint="eastAsia" w:ascii="仿宋_GB2312" w:hAnsi="仿宋_GB2312" w:eastAsia="仿宋_GB2312" w:cs="仿宋_GB2312"/>
          <w:snapToGrid w:val="0"/>
          <w:color w:val="000000"/>
          <w:kern w:val="0"/>
          <w:sz w:val="32"/>
          <w:szCs w:val="32"/>
          <w:lang w:val="en-US" w:eastAsia="en-US" w:bidi="ar-SA"/>
        </w:rPr>
      </w:pPr>
      <w:r>
        <w:rPr>
          <w:b/>
          <w:bCs/>
          <w:spacing w:val="7"/>
        </w:rPr>
        <w:t>附件</w:t>
      </w:r>
      <w:r>
        <w:rPr>
          <w:rFonts w:ascii="Times New Roman" w:hAnsi="Times New Roman" w:eastAsia="Times New Roman" w:cs="Times New Roman"/>
          <w:b/>
          <w:bCs/>
          <w:spacing w:val="7"/>
        </w:rPr>
        <w:t>.</w:t>
      </w:r>
      <w:r>
        <w:rPr>
          <w:rFonts w:ascii="Times New Roman" w:hAnsi="Times New Roman" w:eastAsia="Times New Roman" w:cs="Times New Roman"/>
          <w:b/>
          <w:bCs/>
          <w:spacing w:val="39"/>
        </w:rPr>
        <w:t xml:space="preserve"> </w:t>
      </w:r>
      <w:r>
        <w:rPr>
          <w:rFonts w:hint="eastAsia" w:ascii="仿宋_GB2312" w:hAnsi="仿宋_GB2312" w:eastAsia="仿宋_GB2312" w:cs="仿宋_GB2312"/>
          <w:snapToGrid w:val="0"/>
          <w:color w:val="000000"/>
          <w:kern w:val="0"/>
          <w:sz w:val="32"/>
          <w:szCs w:val="32"/>
          <w:lang w:val="en-US" w:eastAsia="en-US" w:bidi="ar-SA"/>
        </w:rPr>
        <w:t>021003桂林市地震监测中心2025年部门预算公开表.xls</w:t>
      </w:r>
    </w:p>
    <w:sectPr>
      <w:footerReference r:id="rId4" w:type="default"/>
      <w:pgSz w:w="11906" w:h="16839"/>
      <w:pgMar w:top="1431" w:right="1442" w:bottom="1635" w:left="1602" w:header="0" w:footer="13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Microsoft JhengHei">
    <w:panose1 w:val="020B0604030504040204"/>
    <w:charset w:val="88"/>
    <w:family w:val="auto"/>
    <w:pitch w:val="default"/>
    <w:sig w:usb0="00000087" w:usb1="28AF4000" w:usb2="00000016" w:usb3="00000000" w:csb0="00100009"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楷体_GB2312">
    <w:panose1 w:val="02010609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13" w:lineRule="exact"/>
      <w:ind w:left="76"/>
      <w:rPr>
        <w:sz w:val="28"/>
        <w:szCs w:val="28"/>
      </w:rPr>
    </w:pPr>
    <w:r>
      <w:rPr>
        <w:spacing w:val="-16"/>
        <w:position w:val="-6"/>
        <w:sz w:val="28"/>
        <w:szCs w:val="28"/>
      </w:rPr>
      <w:t>— 2</w:t>
    </w:r>
    <w:r>
      <w:rPr>
        <w:spacing w:val="-13"/>
        <w:position w:val="-6"/>
        <w:sz w:val="28"/>
        <w:szCs w:val="28"/>
      </w:rPr>
      <w:t xml:space="preserve"> </w:t>
    </w:r>
    <w:r>
      <w:rPr>
        <w:spacing w:val="-16"/>
        <w:position w:val="-6"/>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7766"/>
      <w:rPr>
        <w:sz w:val="28"/>
        <w:szCs w:val="28"/>
      </w:rPr>
    </w:pPr>
    <w:r>
      <w:rPr>
        <w:spacing w:val="-8"/>
        <w:w w:val="96"/>
        <w:sz w:val="28"/>
        <w:szCs w:val="28"/>
      </w:rPr>
      <w:t>—</w:t>
    </w:r>
    <w:r>
      <w:rPr>
        <w:spacing w:val="65"/>
        <w:sz w:val="28"/>
        <w:szCs w:val="28"/>
      </w:rPr>
      <w:t xml:space="preserve"> </w:t>
    </w:r>
    <w:r>
      <w:rPr>
        <w:spacing w:val="-8"/>
        <w:w w:val="96"/>
        <w:sz w:val="28"/>
        <w:szCs w:val="28"/>
      </w:rPr>
      <w:t>9</w:t>
    </w:r>
    <w:r>
      <w:rPr>
        <w:spacing w:val="55"/>
        <w:sz w:val="28"/>
        <w:szCs w:val="28"/>
      </w:rPr>
      <w:t xml:space="preserve"> </w:t>
    </w:r>
    <w:r>
      <w:rPr>
        <w:spacing w:val="-8"/>
        <w:w w:val="96"/>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15B64DDD"/>
    <w:rsid w:val="30865C86"/>
    <w:rsid w:val="69025A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uiPriority w:val="0"/>
    <w:pPr>
      <w:snapToGrid w:val="0"/>
      <w:jc w:val="left"/>
    </w:pPr>
    <w:rPr>
      <w:sz w:val="18"/>
    </w:rPr>
  </w:style>
  <w:style w:type="table" w:customStyle="1" w:styleId="6">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Office_10.8.0.6108_F1E327BC-269C-435d-A152-05C5408002CA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2025-05-21T11:07:00Z</dcterms:created>
  <dc:creator>Administrator</dc:creator>
  <cp:lastModifiedBy>Administrator</cp:lastModifiedBy>
  <dcterms:modified xsi:type="dcterms:W3CDTF">2025-05-23T07:42:55Z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2025-05-21T11:19:02Z</vt:filetime>
  </property>
  <property fmtid="{D5CDD505-2E9C-101B-9397-08002B2CF9AE}" pid="4" name="KSOProductBuildVer">
    <vt:lpwstr>2052-10.8.0.6108</vt:lpwstr>
  </property>
</Properties>
</file>