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桂林市地震监测中心</w:t>
      </w:r>
    </w:p>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2024年部门预算</w:t>
      </w:r>
      <w:r>
        <w:rPr>
          <w:rFonts w:hint="eastAsia" w:ascii="方正小标宋简体" w:hAnsi="方正小标宋简体" w:eastAsia="方正小标宋简体" w:cs="方正小标宋简体"/>
          <w:sz w:val="44"/>
          <w:szCs w:val="44"/>
          <w:lang w:eastAsia="zh-CN"/>
        </w:rPr>
        <w:t>公开说明</w:t>
      </w:r>
    </w:p>
    <w:p>
      <w:pPr>
        <w:keepNext w:val="0"/>
        <w:keepLines w:val="0"/>
        <w:pageBreakBefore w:val="0"/>
        <w:widowControl w:val="0"/>
        <w:kinsoku/>
        <w:wordWrap/>
        <w:overflowPunct/>
        <w:topLinePunct w:val="0"/>
        <w:autoSpaceDE/>
        <w:autoSpaceDN/>
        <w:bidi w:val="0"/>
        <w:adjustRightInd w:val="0"/>
        <w:snapToGrid w:val="0"/>
        <w:ind w:left="0" w:leftChars="0" w:right="0" w:rightChars="0"/>
        <w:textAlignment w:val="baseline"/>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黑体" w:hAnsi="黑体" w:eastAsia="黑体" w:cs="黑体"/>
          <w:sz w:val="32"/>
          <w:szCs w:val="32"/>
        </w:rPr>
      </w:pPr>
      <w:r>
        <w:rPr>
          <w:rFonts w:hint="eastAsia" w:ascii="黑体" w:hAnsi="黑体" w:eastAsia="黑体" w:cs="黑体"/>
          <w:sz w:val="32"/>
          <w:szCs w:val="32"/>
        </w:rPr>
        <w:t>第一部分： 部门概况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负责地震观测信息网络系统的运行维护，负责地震速报、地震预警、地震应急相关技术服务工作。指导县（市、区）地震监测台网（站、点）、地震预警信息系统、地震宏观观测网的建设、运行和维护。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负责与地震有关的异常现象调查核实工作。根据地震活动趋势和震害预测结果，提出本区域地震趋势预报意见。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负责防震减灾科普宣传教育工作，开展地震监测科学研究及其成果的推广应用。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协助开展本区域内地震烈度区划成果的应用，做好地震安全性风险评估等技术性工作。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参与地震灾害调查与损失评估，协助做好防范地震次生灾害，提出地震灾区重建防震规划的意见。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完成主管部门交办的其他任务。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二、机构设置情况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桂林市地震监测中心设下列内设机构：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（一）防震技术科。</w:t>
      </w:r>
      <w:r>
        <w:rPr>
          <w:rFonts w:hint="eastAsia" w:ascii="仿宋_GB2312" w:hAnsi="仿宋_GB2312" w:eastAsia="仿宋_GB2312" w:cs="仿宋_GB2312"/>
          <w:sz w:val="32"/>
          <w:szCs w:val="32"/>
          <w:lang w:val="en-US" w:eastAsia="zh-CN"/>
        </w:rPr>
        <w:t>负责单位日常运作工作。负责文电、会务、信息、人事、劳资、后勤服务等工作。组织防震减灾科普宣传教育工作；组织地震监测科学研究及成果的推广应用；负责地震烈度区划、地震安全性风险评估等技术性工作；负责震时技术服务保障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（二）监测预警科。</w:t>
      </w:r>
      <w:r>
        <w:rPr>
          <w:rFonts w:hint="eastAsia" w:ascii="仿宋_GB2312" w:hAnsi="仿宋_GB2312" w:eastAsia="仿宋_GB2312" w:cs="仿宋_GB2312"/>
          <w:sz w:val="32"/>
          <w:szCs w:val="32"/>
          <w:lang w:val="en-US" w:eastAsia="zh-CN"/>
        </w:rPr>
        <w:t>负责地震观测信息网络系统的运行维护及地震速报、地震预警、地震应急相关技术服务工作；指导县（市、区）地震监测台网（站、点）、地震预警信息系统、地震宏观观测网的建设、运行和维护；组织与地震有关的异常现象调查核实工作；提出本区域地震趋势预报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三、人员构成情况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（一）编制数：10名，在职人数：10人。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（二）人员结构：主任1人、副主任1人、调研员1人、科级7人、职工1人；学历：研究生1人，大学本科7人，大学专科2人；年龄：35—45岁7人，45岁以上3人。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（三）退休5人。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（四）属市财政全额拨款的事业单位，参照公务员管理。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黑体" w:hAnsi="黑体" w:eastAsia="黑体" w:cs="黑体"/>
          <w:sz w:val="32"/>
          <w:szCs w:val="32"/>
          <w:lang w:eastAsia="zh-CN"/>
        </w:rPr>
      </w:pPr>
      <w:r>
        <w:rPr>
          <w:rFonts w:hint="eastAsia" w:ascii="黑体" w:hAnsi="黑体" w:eastAsia="黑体" w:cs="黑体"/>
          <w:sz w:val="32"/>
          <w:szCs w:val="32"/>
        </w:rPr>
        <w:t xml:space="preserve">第二部分： </w:t>
      </w:r>
      <w:r>
        <w:rPr>
          <w:rFonts w:hint="eastAsia" w:ascii="黑体" w:hAnsi="黑体" w:eastAsia="黑体" w:cs="黑体"/>
          <w:sz w:val="32"/>
          <w:szCs w:val="32"/>
          <w:lang w:eastAsia="zh-CN"/>
        </w:rPr>
        <w:t>桂林市地震监测中心</w:t>
      </w:r>
      <w:r>
        <w:rPr>
          <w:rFonts w:hint="eastAsia" w:ascii="黑体" w:hAnsi="黑体" w:eastAsia="黑体" w:cs="黑体"/>
          <w:sz w:val="32"/>
          <w:szCs w:val="32"/>
        </w:rPr>
        <w:t>2024年部门预算情况说明（各项</w:t>
      </w:r>
      <w:r>
        <w:rPr>
          <w:rFonts w:hint="eastAsia" w:ascii="黑体" w:hAnsi="黑体" w:eastAsia="黑体" w:cs="黑体"/>
          <w:sz w:val="32"/>
          <w:szCs w:val="32"/>
          <w:lang w:eastAsia="zh-CN"/>
        </w:rPr>
        <w:t>说明均需细化与当年总预算占比* 、与上年同比增减数额和增减率*，金额单位：万元）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一、部门收支总体情况说明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我部门总收入270.25万元，总支出270.25万元（不含财政拨款上年未列支结转收支数）。总收入较上年减少3.78万元，同比下降1.38％，主要原因是：2023年6月新增1名正处级退休干部，在职干部减少1名。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二、部门收入总体情况说明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我部门总收入270.25万元，较上年减少3.78万元，同比下降1.38％，主要原因是：2023年6月新增1名正处级退休干部，在职干部减少1名。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三、部门支出总体情况说明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我部门总支出270.25万元，较上年减少3.78万元，同比下降1.38％，主要原因是：2023年6月新增1名正处级退休干部，在职干部减少1名。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四、财政拨款收支总体情况说明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我部门财政拨款总收入270.25万元， 总支出270.25万元（不含财政拨款上年未列支结转收支数）。财政拨款总收入较上年减少1.38%，主要原因是：2023年6月新增1名正处级退休干部，在职干部减少1名。财政拨款总支出较上年减少1.38%，主要原因是：2023年6月新增1名正处级退休干部，在职干部减少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 一般公共预算支出情况说明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我部门一般公共预算支出共265.25万元，较上年增长8.91%，主要原因是：2024年度社保、医保、公积金基数调整。无中央提前下达2024年一般公共预算转移支付资金。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 一般公共预算基本支出情况说明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我部门一般公共预算基本支出共231.55万元，较上年减少3.82%，主要原因是2023年6月新增1名正处级退休干部，在职干部减少1名。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情况为：人员经费预算207.12万元，占基本支出预算89.45％，同比减少6.38万元，下降2.99％。其中：工资福利支出预算198.40万元，占基本支出预算85.68％，同比减少9.25万元，下降4.45％。对个人和家庭的补助支出预算8.72万元，占基本支出预算3.77％，同比增加2.87万元，增长49.10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公用经费（商品和服务支出）预算24.43万元，占基本支出预算10.55％，同比减少2.81万元，下降10.32％。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 一般公共预算“三公”经费支出情况说明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我部门2024年一般公共预算安排的“三公”经费支出预算0.15万元，同口径比2023年减少0.06万元，下降28.57%，具体如下：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1.因公出国（境）费2024年预算安排0万元。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2.公务接待费2024年预算安排0.15万元，比上年减少0.06万元，下降28.57%，减少的主要原因是：根据财政通知，压减“三公”经费。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3.公务用车购置及运行费2024年预算安排0万元。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八、政府性基金预算支出情况说明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我部门政府性基金预算支出共5万元，较上年减少0.49万元，下降8.93％。主要原因是：根据财政局文件通知，2024年预算项目经费资金来源为政府性基金预算的，按比例缩减。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九、国有资本经营预算支出情况说明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我单位2024年部门预算无国有资本经营预算。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2024年我单位机关运行经费24.43万元，同比减少2.81万元，下降10.32％。下降原因：2023年6月新增1名正处级退休干部，在职干部减少1名。具体列表如下：</w:t>
      </w:r>
    </w:p>
    <w:tbl>
      <w:tblPr>
        <w:tblStyle w:val="6"/>
        <w:tblW w:w="8757"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76"/>
        <w:gridCol w:w="1877"/>
        <w:gridCol w:w="2596"/>
        <w:gridCol w:w="210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8" w:hRule="atLeast"/>
          <w:jc w:val="center"/>
        </w:trPr>
        <w:tc>
          <w:tcPr>
            <w:tcW w:w="405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b/>
                <w:bCs/>
              </w:rPr>
            </w:pPr>
            <w:r>
              <w:rPr>
                <w:rFonts w:hint="eastAsia"/>
                <w:b/>
                <w:bCs/>
              </w:rPr>
              <w:t>支出经济分类科目编码</w:t>
            </w:r>
          </w:p>
        </w:tc>
        <w:tc>
          <w:tcPr>
            <w:tcW w:w="2596" w:type="dxa"/>
            <w:tcBorders>
              <w:top w:val="single" w:color="000000" w:sz="4" w:space="0"/>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b/>
                <w:bCs/>
              </w:rPr>
            </w:pPr>
            <w:r>
              <w:rPr>
                <w:rFonts w:hint="eastAsia"/>
                <w:b/>
                <w:bCs/>
              </w:rPr>
              <w:t>支出经济分类科目名称</w:t>
            </w:r>
          </w:p>
        </w:tc>
        <w:tc>
          <w:tcPr>
            <w:tcW w:w="2108" w:type="dxa"/>
            <w:tcBorders>
              <w:top w:val="single" w:color="000000" w:sz="4" w:space="0"/>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b/>
                <w:bCs/>
              </w:rPr>
            </w:pPr>
            <w:r>
              <w:rPr>
                <w:rFonts w:hint="eastAsia"/>
                <w:b/>
                <w:bCs/>
              </w:rPr>
              <w:t>预算数(万元)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商品和服务支出</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24.43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0</w:t>
            </w:r>
            <w:r>
              <w:rPr>
                <w:rFonts w:hint="eastAsia"/>
                <w:lang w:val="en-US" w:eastAsia="zh-CN"/>
              </w:rPr>
              <w:t>1</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lang w:eastAsia="zh-CN"/>
              </w:rPr>
              <w:t>办公</w:t>
            </w:r>
            <w:r>
              <w:rPr>
                <w:rFonts w:hint="eastAsia"/>
              </w:rPr>
              <w:t>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0.93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0</w:t>
            </w:r>
            <w:r>
              <w:rPr>
                <w:rFonts w:hint="eastAsia"/>
                <w:lang w:val="en-US" w:eastAsia="zh-CN"/>
              </w:rPr>
              <w:t>2</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eastAsia="zh-CN"/>
              </w:rPr>
              <w:t>印刷费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0.</w:t>
            </w:r>
            <w:r>
              <w:rPr>
                <w:rFonts w:hint="eastAsia"/>
                <w:lang w:val="en-US" w:eastAsia="zh-CN"/>
              </w:rPr>
              <w:t>21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0</w:t>
            </w:r>
            <w:r>
              <w:rPr>
                <w:rFonts w:hint="eastAsia"/>
                <w:lang w:val="en-US" w:eastAsia="zh-CN"/>
              </w:rPr>
              <w:t>7</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邮电费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1.95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11</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差旅费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3.67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13</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维修(护)费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0.21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15</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会议费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16</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培训费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0.21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17</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公务接待费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0.15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28</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工会经费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1.64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29</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福利费</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0.21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39</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其他交通费用</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9.42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8" w:hRule="atLeast"/>
          <w:jc w:val="center"/>
        </w:trPr>
        <w:tc>
          <w:tcPr>
            <w:tcW w:w="2176" w:type="dxa"/>
            <w:tcBorders>
              <w:top w:val="nil"/>
              <w:left w:val="single" w:color="000000" w:sz="4" w:space="0"/>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302</w:t>
            </w:r>
          </w:p>
        </w:tc>
        <w:tc>
          <w:tcPr>
            <w:tcW w:w="1877"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99</w:t>
            </w:r>
          </w:p>
        </w:tc>
        <w:tc>
          <w:tcPr>
            <w:tcW w:w="2596"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pPr>
            <w:r>
              <w:rPr>
                <w:rFonts w:hint="eastAsia"/>
              </w:rPr>
              <w:t>其他商品和服务支出</w:t>
            </w:r>
          </w:p>
        </w:tc>
        <w:tc>
          <w:tcPr>
            <w:tcW w:w="2108" w:type="dxa"/>
            <w:tcBorders>
              <w:top w:val="nil"/>
              <w:left w:val="nil"/>
              <w:bottom w:val="single" w:color="000000" w:sz="4" w:space="0"/>
              <w:right w:val="single" w:color="000000" w:sz="4" w:space="0"/>
            </w:tcBorders>
            <w:shd w:val="clear" w:color="auto" w:fill="auto"/>
            <w:tcMar>
              <w:top w:w="12" w:type="dxa"/>
              <w:left w:w="12" w:type="dxa"/>
              <w:bottom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baseline"/>
              <w:rPr>
                <w:rFonts w:hint="eastAsia"/>
                <w:lang w:eastAsia="zh-CN"/>
              </w:rPr>
            </w:pPr>
            <w:r>
              <w:rPr>
                <w:rFonts w:hint="eastAsia"/>
                <w:lang w:val="en-US" w:eastAsia="zh-CN"/>
              </w:rPr>
              <w:t>5.68</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jc w:val="left"/>
        <w:textAlignment w:val="baseline"/>
        <w:outlineLvl w:val="9"/>
        <w:rPr>
          <w:rFonts w:hint="eastAsia" w:ascii="仿宋_GB2312" w:hAnsi="仿宋_GB2312" w:eastAsia="仿宋_GB2312" w:cs="仿宋_GB2312"/>
          <w:sz w:val="32"/>
          <w:szCs w:val="32"/>
        </w:rPr>
      </w:pPr>
      <w:r>
        <w:rPr>
          <w:rFonts w:hint="default"/>
        </w:rPr>
        <w:t> </w:t>
      </w:r>
      <w:r>
        <w:rPr>
          <w:rFonts w:hint="eastAsia" w:ascii="仿宋_GB2312" w:hAnsi="仿宋_GB2312" w:eastAsia="仿宋_GB2312" w:cs="仿宋_GB2312"/>
          <w:sz w:val="32"/>
          <w:szCs w:val="32"/>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我单位2024年部门预算无政府采购预算。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我单位 2024年无国有资产占用相关情况。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1.我部门2024年所有项目支出全面实施绩效目标管理，涉 及自治区本级项目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个，预算资金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万元；对下转移支付项目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个，预算资金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万元。绩效目标情况详见报表（日常运转类项目、工资类人员经费项目和涉密项目等除外）。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2.重点项目预算绩效目标说明。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:基层地震台站监测能力建设</w:t>
      </w:r>
      <w:r>
        <w:rPr>
          <w:rFonts w:hint="eastAsia" w:ascii="仿宋_GB2312" w:hAnsi="仿宋_GB2312" w:eastAsia="仿宋_GB2312" w:cs="仿宋_GB2312"/>
          <w:sz w:val="32"/>
          <w:szCs w:val="32"/>
        </w:rPr>
        <w:t>，预算资金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年度绩效目标</w:t>
      </w:r>
      <w:r>
        <w:rPr>
          <w:rFonts w:hint="eastAsia" w:ascii="仿宋_GB2312" w:hAnsi="仿宋_GB2312" w:eastAsia="仿宋_GB2312" w:cs="仿宋_GB2312"/>
          <w:sz w:val="32"/>
          <w:szCs w:val="32"/>
          <w:lang w:eastAsia="zh-CN"/>
        </w:rPr>
        <w:t>：按计划</w:t>
      </w:r>
      <w:r>
        <w:rPr>
          <w:rFonts w:hint="eastAsia" w:ascii="仿宋_GB2312" w:hAnsi="仿宋_GB2312" w:eastAsia="仿宋_GB2312" w:cs="仿宋_GB2312"/>
          <w:sz w:val="32"/>
          <w:szCs w:val="32"/>
          <w:lang w:val="en-US" w:eastAsia="zh-CN"/>
        </w:rPr>
        <w:t>逐渐完成玻璃钢台站标准化改造工作，确保各县（市、区）玻璃钢地震台站标准化改造达到上级规定要求。</w:t>
      </w:r>
      <w:r>
        <w:rPr>
          <w:rFonts w:hint="eastAsia" w:ascii="仿宋_GB2312" w:hAnsi="仿宋_GB2312" w:eastAsia="仿宋_GB2312" w:cs="仿宋_GB2312"/>
          <w:sz w:val="32"/>
          <w:szCs w:val="32"/>
          <w:lang w:eastAsia="zh-CN"/>
        </w:rPr>
        <w:t>根据上级文件要求，提升基层地震台站监测能力。</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条数量指标：</w:t>
      </w:r>
      <w:r>
        <w:rPr>
          <w:rFonts w:hint="eastAsia" w:ascii="仿宋_GB2312" w:hAnsi="仿宋_GB2312" w:eastAsia="仿宋_GB2312" w:cs="仿宋_GB2312"/>
          <w:sz w:val="32"/>
          <w:szCs w:val="32"/>
          <w:lang w:eastAsia="zh-CN"/>
        </w:rPr>
        <w:t>改造玻璃钢台站数量</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条质量指标：</w:t>
      </w:r>
      <w:r>
        <w:rPr>
          <w:rFonts w:hint="eastAsia" w:ascii="仿宋_GB2312" w:hAnsi="仿宋_GB2312" w:eastAsia="仿宋_GB2312" w:cs="仿宋_GB2312"/>
          <w:sz w:val="32"/>
          <w:szCs w:val="32"/>
          <w:lang w:eastAsia="zh-CN"/>
        </w:rPr>
        <w:t>提高台站运行率</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条时效指标：</w:t>
      </w:r>
      <w:r>
        <w:rPr>
          <w:rFonts w:hint="eastAsia" w:ascii="仿宋_GB2312" w:hAnsi="仿宋_GB2312" w:eastAsia="仿宋_GB2312" w:cs="仿宋_GB2312"/>
          <w:sz w:val="32"/>
          <w:szCs w:val="32"/>
          <w:lang w:eastAsia="zh-CN"/>
        </w:rPr>
        <w:t>项目完成率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条成本指标：</w:t>
      </w:r>
      <w:r>
        <w:rPr>
          <w:rFonts w:hint="eastAsia" w:ascii="仿宋_GB2312" w:hAnsi="仿宋_GB2312" w:eastAsia="仿宋_GB2312" w:cs="仿宋_GB2312"/>
          <w:sz w:val="32"/>
          <w:szCs w:val="32"/>
          <w:lang w:eastAsia="zh-CN"/>
        </w:rPr>
        <w:t>项目预算执行率</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lang w:val="en-US" w:eastAsia="zh-CN"/>
        </w:rPr>
        <w:t>1条经济</w:t>
      </w:r>
      <w:r>
        <w:rPr>
          <w:rFonts w:hint="eastAsia" w:ascii="仿宋_GB2312" w:hAnsi="仿宋_GB2312" w:eastAsia="仿宋_GB2312" w:cs="仿宋_GB2312"/>
          <w:sz w:val="32"/>
          <w:szCs w:val="32"/>
        </w:rPr>
        <w:t>效益指标</w:t>
      </w:r>
      <w:r>
        <w:rPr>
          <w:rFonts w:hint="eastAsia" w:ascii="仿宋_GB2312" w:hAnsi="仿宋_GB2312" w:eastAsia="仿宋_GB2312" w:cs="仿宋_GB2312"/>
          <w:sz w:val="32"/>
          <w:szCs w:val="32"/>
          <w:lang w:eastAsia="zh-CN"/>
        </w:rPr>
        <w:t>：提升地震安全保障定性为良好；设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条满意度指标：</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满意度</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95%。</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项目依据：《桂林市财政局关于提前下达2024 年应急管理专项资金预算的通知》（市财资环〔2023〕13号）文件。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项目内容：重点支持提升基层应急部门对突发事件的事前预防、事发应对、事中处置和善后恢复的能力。我单位重点需要完成基层地震台站能力建设。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资金来源：一般公共预算（上级转移支付）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经费测算：根据《广西壮族自治区财政厅关于提前下达 2024年应急管理专项资金预算的通知》（桂财资环〔2023〕</w:t>
      </w:r>
      <w:r>
        <w:rPr>
          <w:rFonts w:hint="default" w:ascii="仿宋_GB2312" w:hAnsi="仿宋_GB2312" w:eastAsia="仿宋_GB2312" w:cs="仿宋_GB2312"/>
          <w:sz w:val="32"/>
          <w:szCs w:val="32"/>
          <w:lang w:val="en" w:eastAsia="zh-CN"/>
        </w:rPr>
        <w:t>83</w:t>
      </w:r>
      <w:r>
        <w:rPr>
          <w:rFonts w:hint="eastAsia" w:ascii="仿宋_GB2312" w:hAnsi="仿宋_GB2312" w:eastAsia="仿宋_GB2312" w:cs="仿宋_GB2312"/>
          <w:sz w:val="32"/>
          <w:szCs w:val="32"/>
          <w:lang w:val="en-US" w:eastAsia="zh-CN"/>
        </w:rPr>
        <w:t>号）、《广西壮族自治区应急管理厅关于下达2024年应急管理专项资金使用计划的通知》（桂应急发〔2023〕69号）文件进行测算。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黑体" w:hAnsi="黑体" w:eastAsia="黑体" w:cs="黑体"/>
          <w:sz w:val="32"/>
          <w:szCs w:val="32"/>
        </w:rPr>
      </w:pPr>
      <w:r>
        <w:rPr>
          <w:rFonts w:hint="eastAsia" w:ascii="黑体" w:hAnsi="黑体" w:eastAsia="黑体" w:cs="黑体"/>
          <w:sz w:val="32"/>
          <w:szCs w:val="32"/>
        </w:rPr>
        <w:t>第三部分： 名词解释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一、行政单位医疗：财政部门集中安排的行政单位基本医疗保险缴费经费，按国家规定享受离休人员待遇的医疗经费。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二、事业单位医疗：财政部门集中安排的事业单位基本医疗保险缴费经费，按国家规定享受离休人员待遇的医疗经费。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三、公务员医疗补助：财政部门集中安排的公务员医疗补助经费。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四、其他扶贫支出：财政部门集中安排的党建扶贫工作经费。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五、住房公积金：行政事业单位按人力资源和社会保障部、财政部规定的基本工资和津贴补贴以及规定比例为职工缴纳的住房公积金。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六、行政运行（地震事务）：地震行政管理部门（含参公事业单位）的基本支出。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七、地震灾害预防：地震行政管理部门（含参公事业单位）的项目支出。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八、三公经费：是指中央部门用财政拨款安排的因公出国（境）费、公务用车购置及运行费和公务接待费。其中，因公 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机构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eastAsia="zh-CN"/>
        </w:rPr>
        <w:t>桂林市地震监测中心</w:t>
      </w:r>
      <w:r>
        <w:rPr>
          <w:rFonts w:hint="eastAsia" w:ascii="黑体" w:hAnsi="黑体" w:eastAsia="黑体" w:cs="黑体"/>
          <w:sz w:val="32"/>
          <w:szCs w:val="32"/>
        </w:rPr>
        <w:t>2024 年部门预算报表</w:t>
      </w:r>
    </w:p>
    <w:p>
      <w:pPr>
        <w:keepNext w:val="0"/>
        <w:keepLines w:val="0"/>
        <w:pageBreakBefore w:val="0"/>
        <w:widowControl w:val="0"/>
        <w:kinsoku/>
        <w:wordWrap/>
        <w:overflowPunct/>
        <w:topLinePunct w:val="0"/>
        <w:autoSpaceDE/>
        <w:autoSpaceDN/>
        <w:bidi w:val="0"/>
        <w:adjustRightInd w:val="0"/>
        <w:snapToGrid w:val="0"/>
        <w:ind w:left="0" w:leftChars="0" w:right="0" w:rightChars="0"/>
        <w:textAlignment w:val="baseline"/>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一、部门收支总体情况表（表1）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二、部门收入总体情况表（表2）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三、部门支出总体情况表（表3）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四、财政拨款收支总体情况表（表4）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五、一般公共预算支出情况表（表5）</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六、一般公共预算基本支出情况表（表6）</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 三公”经费支出情况表（表7）</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八、政府性基金预算支出情况表（表8）</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九、国有资本经营预算支出表（表9）</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十、政府采购预算表（表10）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十一、部门预算支出经济分类表（表11）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十二、政府预算支出经济分类表（表12）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lang w:val="en-US" w:eastAsia="zh-CN"/>
        </w:rPr>
        <w:t>项目支出（部门预算）绩效目标申报表（表13）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上述报表详见附件。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  </w:t>
      </w:r>
      <w:r>
        <w:rPr>
          <w:rFonts w:hint="eastAsia" w:ascii="仿宋_GB2312" w:hAnsi="仿宋_GB2312" w:eastAsia="仿宋_GB2312" w:cs="仿宋_GB2312"/>
          <w:sz w:val="32"/>
          <w:szCs w:val="32"/>
          <w:lang w:eastAsia="zh-CN"/>
        </w:rPr>
        <w:t>桂林市地震监测中心</w:t>
      </w:r>
      <w:r>
        <w:rPr>
          <w:rFonts w:hint="eastAsia" w:ascii="仿宋_GB2312" w:hAnsi="仿宋_GB2312" w:eastAsia="仿宋_GB2312" w:cs="仿宋_GB2312"/>
          <w:sz w:val="32"/>
          <w:szCs w:val="32"/>
        </w:rPr>
        <w:t>部门预算报表（财政审核）（桂林市本级预算公开表）.xls</w:t>
      </w:r>
    </w:p>
    <w:sectPr>
      <w:footerReference r:id="rId5" w:type="default"/>
      <w:pgSz w:w="11906" w:h="16838"/>
      <w:pgMar w:top="2098" w:right="1304" w:bottom="1304" w:left="1587" w:header="0" w:footer="8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Y1YTU4MTZhNWY5NTJiNGFiNjFjMWFiODFiZDcyN2IifQ=="/>
  </w:docVars>
  <w:rsids>
    <w:rsidRoot w:val="00000000"/>
    <w:rsid w:val="0BC3340D"/>
    <w:rsid w:val="0CE675E2"/>
    <w:rsid w:val="18D540D0"/>
    <w:rsid w:val="2CBE4B43"/>
    <w:rsid w:val="30BC3680"/>
    <w:rsid w:val="34E73789"/>
    <w:rsid w:val="3FAE2AAC"/>
    <w:rsid w:val="40EE4D58"/>
    <w:rsid w:val="49C155AB"/>
    <w:rsid w:val="4CF8452E"/>
    <w:rsid w:val="4EAA309A"/>
    <w:rsid w:val="58F77590"/>
    <w:rsid w:val="69272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黑体" w:hAnsi="黑体" w:eastAsia="黑体" w:cs="黑体"/>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2024-03-12T10:09:00Z</dcterms:created>
  <dc:creator>夏候飞</dc:creator>
  <cp:lastModifiedBy>静密的森林</cp:lastModifiedBy>
  <dcterms:modified xsi:type="dcterms:W3CDTF">2024-03-15T14:26:54Z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2024-03-12T10:12:53Z</vt:filetime>
  </property>
  <property fmtid="{D5CDD505-2E9C-101B-9397-08002B2CF9AE}" pid="4" name="KSOProductBuildVer">
    <vt:lpwstr>2052-12.1.0.16388</vt:lpwstr>
  </property>
  <property fmtid="{D5CDD505-2E9C-101B-9397-08002B2CF9AE}" pid="5" name="ICV">
    <vt:lpwstr>1AA0C04A6EA345B19B81F718998CBED2_12</vt:lpwstr>
  </property>
</Properties>
</file>