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b/>
          <w:sz w:val="32"/>
        </w:rPr>
      </w:pPr>
      <w:bookmarkStart w:id="0" w:name="_Toc92033863"/>
    </w:p>
    <w:p>
      <w:pPr>
        <w:spacing w:line="586"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lang w:eastAsia="zh-CN"/>
        </w:rPr>
        <w:t>桂林市</w:t>
      </w:r>
      <w:r>
        <w:rPr>
          <w:rFonts w:hint="eastAsia" w:ascii="方正小标宋_GBK" w:hAnsi="仿宋" w:eastAsia="方正小标宋_GBK"/>
          <w:sz w:val="44"/>
          <w:szCs w:val="44"/>
        </w:rPr>
        <w:t>安全生产监察支队</w:t>
      </w:r>
    </w:p>
    <w:p>
      <w:pPr>
        <w:spacing w:line="586" w:lineRule="exact"/>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lang w:val="en-US" w:eastAsia="zh-CN"/>
        </w:rPr>
        <w:t>2023年部门</w:t>
      </w:r>
      <w:r>
        <w:rPr>
          <w:rFonts w:hint="eastAsia" w:ascii="方正小标宋_GBK" w:hAnsi="仿宋" w:eastAsia="方正小标宋_GBK"/>
          <w:sz w:val="44"/>
          <w:szCs w:val="44"/>
          <w:lang w:eastAsia="zh-CN"/>
        </w:rPr>
        <w:t>预算说明</w:t>
      </w:r>
    </w:p>
    <w:bookmarkEnd w:id="0"/>
    <w:p>
      <w:pPr>
        <w:spacing w:line="586" w:lineRule="exact"/>
        <w:jc w:val="center"/>
        <w:rPr>
          <w:rFonts w:hAnsi="黑体" w:eastAsia="黑体"/>
          <w:sz w:val="32"/>
          <w:szCs w:val="32"/>
        </w:rPr>
      </w:pPr>
      <w:bookmarkStart w:id="1" w:name="_Toc22787"/>
      <w:r>
        <w:rPr>
          <w:rFonts w:hAnsi="黑体" w:eastAsia="黑体"/>
          <w:sz w:val="32"/>
          <w:szCs w:val="32"/>
        </w:rPr>
        <w:t>第一部分  部门概况</w:t>
      </w:r>
    </w:p>
    <w:p>
      <w:pPr>
        <w:spacing w:line="586" w:lineRule="exact"/>
        <w:jc w:val="both"/>
        <w:rPr>
          <w:rFonts w:eastAsia="仿宋_GB2312"/>
          <w:sz w:val="32"/>
          <w:szCs w:val="32"/>
        </w:rPr>
      </w:pPr>
      <w:r>
        <w:rPr>
          <w:rFonts w:hint="eastAsia" w:hAnsi="黑体" w:eastAsia="黑体"/>
          <w:sz w:val="32"/>
          <w:szCs w:val="32"/>
          <w:lang w:eastAsia="zh-CN"/>
        </w:rPr>
        <w:t>一、</w:t>
      </w:r>
      <w:r>
        <w:rPr>
          <w:rFonts w:hAnsi="黑体" w:eastAsia="黑体"/>
          <w:sz w:val="32"/>
          <w:szCs w:val="32"/>
        </w:rPr>
        <w:t>主要职能职责</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一</w:t>
      </w:r>
      <w:r>
        <w:rPr>
          <w:rFonts w:hint="eastAsia" w:eastAsia="仿宋_GB2312"/>
          <w:sz w:val="32"/>
          <w:szCs w:val="32"/>
        </w:rPr>
        <w:t>）负责执行安全生产方面的法律及地方性的法规、规章和政策，对安全监管部门拟定的安全生产规程和安全技术标准在生产经营部门的实施进行监督检查。</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二</w:t>
      </w:r>
      <w:r>
        <w:rPr>
          <w:rFonts w:hint="eastAsia" w:eastAsia="仿宋_GB2312"/>
          <w:sz w:val="32"/>
          <w:szCs w:val="32"/>
        </w:rPr>
        <w:t>）按照法律、法规的授权对全市安全生产工作进行监督检查，依法行使国家安全生产监督检查职能。</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三</w:t>
      </w:r>
      <w:r>
        <w:rPr>
          <w:rFonts w:hint="eastAsia" w:eastAsia="仿宋_GB2312"/>
          <w:sz w:val="32"/>
          <w:szCs w:val="32"/>
        </w:rPr>
        <w:t>）依法对质量技术监督等部门承担的专项安全监察、监督工作进行监督和协助。</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）负责向市应急管理局报告全市安全生产信息。</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）按照授权开展全市安全生产检测检验工作，监督检查工矿商贸企业安全生产条件；负责有关设备（特种设备除外）的安全生产监督检查工作。</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）监督检查生产经营部门实施职工生产宣传教育和培训工作。</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）监督检查工矿商贸企业贯彻执行安全生产法律法规情况和安全生产条件、有关设备、材料及劳动防护用品的安全管理工作。</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八</w:t>
      </w:r>
      <w:r>
        <w:rPr>
          <w:rFonts w:hint="eastAsia" w:eastAsia="仿宋_GB2312"/>
          <w:sz w:val="32"/>
          <w:szCs w:val="32"/>
        </w:rPr>
        <w:t>）按照授权负责新建、改建、扩建工程项目的安全设施与主体工程同时设计、同时施工、同时投入生产和使用（以下简称“三同时”）的安全监督检查工作;监督检查重大危险源的监控、重大事故隐患的整改工作；对不具备安全生产条件的生产经营单位依法进行查处工作；在条件具备的情况下，协助开展事故应急救援工作。</w:t>
      </w:r>
    </w:p>
    <w:p>
      <w:pPr>
        <w:spacing w:line="586" w:lineRule="exact"/>
        <w:jc w:val="both"/>
        <w:rPr>
          <w:rFonts w:hint="eastAsia" w:hAnsi="黑体" w:eastAsia="黑体"/>
          <w:sz w:val="32"/>
          <w:szCs w:val="32"/>
          <w:lang w:eastAsia="zh-CN"/>
        </w:rPr>
      </w:pPr>
      <w:r>
        <w:rPr>
          <w:rFonts w:hint="eastAsia" w:hAnsi="黑体" w:eastAsia="黑体"/>
          <w:sz w:val="32"/>
          <w:szCs w:val="32"/>
          <w:lang w:eastAsia="zh-CN"/>
        </w:rPr>
        <w:t>二、机构设置</w:t>
      </w:r>
    </w:p>
    <w:p>
      <w:pPr>
        <w:spacing w:line="580" w:lineRule="exact"/>
        <w:ind w:firstLine="640" w:firstLineChars="200"/>
        <w:rPr>
          <w:rFonts w:eastAsia="仿宋_GB2312"/>
          <w:sz w:val="32"/>
          <w:szCs w:val="32"/>
        </w:rPr>
      </w:pPr>
      <w:r>
        <w:rPr>
          <w:rFonts w:hint="eastAsia" w:eastAsia="仿宋_GB2312"/>
          <w:sz w:val="32"/>
          <w:szCs w:val="32"/>
          <w:lang w:eastAsia="zh-CN"/>
        </w:rPr>
        <w:t>无内设机构</w:t>
      </w:r>
      <w:r>
        <w:rPr>
          <w:rFonts w:hint="eastAsia" w:eastAsia="仿宋_GB2312"/>
          <w:sz w:val="32"/>
          <w:szCs w:val="32"/>
        </w:rPr>
        <w:t>。</w:t>
      </w:r>
    </w:p>
    <w:p>
      <w:pPr>
        <w:spacing w:line="586" w:lineRule="exact"/>
        <w:jc w:val="both"/>
        <w:rPr>
          <w:rFonts w:hint="eastAsia" w:hAnsi="黑体" w:eastAsia="黑体"/>
          <w:sz w:val="32"/>
          <w:szCs w:val="32"/>
          <w:lang w:eastAsia="zh-CN"/>
        </w:rPr>
      </w:pPr>
      <w:r>
        <w:rPr>
          <w:rFonts w:hint="eastAsia" w:hAnsi="黑体" w:eastAsia="黑体"/>
          <w:sz w:val="32"/>
          <w:szCs w:val="32"/>
          <w:lang w:eastAsia="zh-CN"/>
        </w:rPr>
        <w:t>三、编制现状及人员构成</w:t>
      </w:r>
    </w:p>
    <w:p>
      <w:pPr>
        <w:pStyle w:val="2"/>
        <w:numPr>
          <w:ilvl w:val="0"/>
          <w:numId w:val="0"/>
        </w:numPr>
        <w:ind w:firstLine="640" w:firstLineChars="200"/>
      </w:pPr>
      <w:r>
        <w:rPr>
          <w:rFonts w:hint="eastAsia" w:ascii="Times New Roman" w:hAnsi="Times New Roman" w:eastAsia="仿宋_GB2312" w:cs="Times New Roman"/>
          <w:kern w:val="2"/>
          <w:sz w:val="32"/>
          <w:szCs w:val="32"/>
          <w:lang w:val="en-US" w:eastAsia="zh-CN" w:bidi="ar-SA"/>
        </w:rPr>
        <w:t>桂林市安全生产监察支队编制15人：目前事业（参公）在职11人，工勤编在职2人，无退休人员</w:t>
      </w:r>
      <w:r>
        <w:rPr>
          <w:rFonts w:hint="eastAsia" w:eastAsia="仿宋_GB2312" w:cs="Times New Roman"/>
          <w:kern w:val="2"/>
          <w:sz w:val="32"/>
          <w:szCs w:val="32"/>
          <w:lang w:val="en-US" w:eastAsia="zh-CN" w:bidi="ar-SA"/>
        </w:rPr>
        <w:t>。</w:t>
      </w:r>
    </w:p>
    <w:p>
      <w:pPr>
        <w:spacing w:line="586" w:lineRule="exact"/>
        <w:rPr>
          <w:rFonts w:hint="eastAsia" w:hAnsi="黑体" w:eastAsia="黑体"/>
          <w:sz w:val="32"/>
          <w:szCs w:val="32"/>
          <w:lang w:eastAsia="zh-CN"/>
        </w:rPr>
      </w:pPr>
      <w:r>
        <w:rPr>
          <w:rFonts w:hAnsi="黑体" w:eastAsia="黑体"/>
          <w:sz w:val="32"/>
          <w:szCs w:val="32"/>
        </w:rPr>
        <w:t>四、年度主要工作任务</w:t>
      </w:r>
    </w:p>
    <w:bookmarkEnd w:id="1"/>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（一）深入宣贯《安全生产法》深入各企业单位，开展新《安全生产法》普法活动。</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二）持续深化“强监督严执法”行动，落实分级分类监管，对安全管理基础条件差、问题隐患突出、严重违法违规、具有高风险以及发生事故的企业，列入重点监管范围，严格监管执法，推动企业落实主体责任。</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（三）配合（市、区）完成年度监督检查计划，提高行政处罚率，结合辖区特点和实际，制定切实可行的年度监督检查计划，严格按照年度计划细化分解监督检查任务，保质保量完成年度监督检查计划。</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四）开展安全生产“打非治违”行动，依法严惩违法违规行为，治理重大事故隐患，坚决遏制重特大事故。对执法检查发现的各类事故隐患，提出整改要求和处罚意见，倒逼企业全面落实安全生产主体责任、激发内生动力，确保安全生产各项法律制度落到实处。</w:t>
      </w:r>
      <w:bookmarkStart w:id="2" w:name="_Toc92033864"/>
    </w:p>
    <w:p>
      <w:pPr>
        <w:pStyle w:val="2"/>
        <w:ind w:left="0" w:leftChars="0" w:firstLine="1600" w:firstLineChars="500"/>
        <w:rPr>
          <w:rFonts w:hAnsi="黑体"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86" w:lineRule="exact"/>
        <w:ind w:firstLine="784" w:firstLineChars="245"/>
        <w:rPr>
          <w:rFonts w:eastAsia="黑体"/>
          <w:sz w:val="32"/>
          <w:szCs w:val="32"/>
        </w:rPr>
      </w:pPr>
      <w:r>
        <w:rPr>
          <w:rFonts w:hAnsi="黑体" w:eastAsia="黑体"/>
          <w:sz w:val="32"/>
          <w:szCs w:val="32"/>
        </w:rPr>
        <w:t>一、收支预算总体情况</w:t>
      </w:r>
    </w:p>
    <w:p>
      <w:pPr>
        <w:pStyle w:val="2"/>
        <w:ind w:left="0" w:leftChars="0" w:firstLine="62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caps w:val="0"/>
          <w:color w:val="333333"/>
          <w:spacing w:val="0"/>
          <w:sz w:val="31"/>
          <w:szCs w:val="31"/>
          <w:shd w:val="clear" w:fill="FFFFFF"/>
        </w:rPr>
        <w:t>2</w:t>
      </w:r>
      <w:r>
        <w:rPr>
          <w:rFonts w:hint="default" w:ascii="Times New Roman" w:hAnsi="Times New Roman" w:eastAsia="仿宋_GB2312" w:cs="Times New Roman"/>
          <w:kern w:val="2"/>
          <w:sz w:val="32"/>
          <w:szCs w:val="32"/>
          <w:lang w:val="en-US" w:eastAsia="zh-CN" w:bidi="ar-SA"/>
        </w:rPr>
        <w:t>022</w:t>
      </w:r>
      <w:r>
        <w:rPr>
          <w:rFonts w:hint="eastAsia" w:ascii="Times New Roman" w:hAnsi="Times New Roman" w:eastAsia="仿宋_GB2312" w:cs="Times New Roman"/>
          <w:kern w:val="2"/>
          <w:sz w:val="32"/>
          <w:szCs w:val="32"/>
          <w:lang w:val="en-US" w:eastAsia="zh-CN" w:bidi="ar-SA"/>
        </w:rPr>
        <w:t>年收入总预算269.45万元</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同比增加0.64万元，上升0.2%。其中，收入包括：一般公共预算收入</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政府性基金收入；支出包括：社会保障和就业支出、卫生健康支出、住房保障支出、灾害防治及应用管理支出。</w:t>
      </w:r>
    </w:p>
    <w:p>
      <w:pPr>
        <w:pStyle w:val="5"/>
        <w:spacing w:beforeAutospacing="0" w:afterAutospacing="0" w:line="560" w:lineRule="exact"/>
        <w:ind w:firstLine="643" w:firstLineChars="200"/>
        <w:rPr>
          <w:rFonts w:hint="default"/>
          <w:sz w:val="32"/>
          <w:szCs w:val="32"/>
        </w:rPr>
      </w:pPr>
      <w:r>
        <w:rPr>
          <w:rFonts w:hint="eastAsia"/>
          <w:sz w:val="32"/>
          <w:szCs w:val="32"/>
          <w:lang w:eastAsia="zh-CN"/>
        </w:rPr>
        <w:t>二</w:t>
      </w:r>
      <w:r>
        <w:rPr>
          <w:sz w:val="32"/>
          <w:szCs w:val="32"/>
        </w:rPr>
        <w:t>、收入预算说明</w:t>
      </w:r>
      <w:bookmarkEnd w:id="2"/>
    </w:p>
    <w:p>
      <w:pPr>
        <w:snapToGrid w:val="0"/>
        <w:spacing w:line="560" w:lineRule="exact"/>
        <w:ind w:firstLine="643" w:firstLineChars="200"/>
        <w:rPr>
          <w:rFonts w:ascii="宋体" w:hAnsi="宋体" w:cs="宋体"/>
          <w:b/>
          <w:snapToGrid w:val="0"/>
          <w:color w:val="000000"/>
          <w:kern w:val="0"/>
          <w:sz w:val="32"/>
          <w:szCs w:val="32"/>
        </w:rPr>
      </w:pPr>
      <w:r>
        <w:rPr>
          <w:rFonts w:hint="eastAsia" w:ascii="宋体" w:hAnsi="宋体" w:cs="宋体"/>
          <w:b/>
          <w:snapToGrid w:val="0"/>
          <w:color w:val="000000"/>
          <w:kern w:val="0"/>
          <w:sz w:val="32"/>
          <w:szCs w:val="32"/>
        </w:rPr>
        <w:t>(一)收入预算总体说明</w:t>
      </w:r>
    </w:p>
    <w:p>
      <w:pPr>
        <w:pStyle w:val="2"/>
        <w:ind w:left="0" w:leftChars="0" w:firstLine="620" w:firstLineChars="200"/>
        <w:rPr>
          <w:rFonts w:hint="default" w:ascii="Times New Roman" w:hAnsi="Times New Roman" w:eastAsia="仿宋_GB2312" w:cs="Times New Roman"/>
          <w:i w:val="0"/>
          <w:caps w:val="0"/>
          <w:color w:val="333333"/>
          <w:spacing w:val="0"/>
          <w:sz w:val="31"/>
          <w:szCs w:val="31"/>
          <w:shd w:val="clear" w:fill="FFFFFF"/>
        </w:rPr>
      </w:pPr>
      <w:r>
        <w:rPr>
          <w:rFonts w:hint="eastAsia" w:ascii="Times New Roman" w:hAnsi="Times New Roman" w:eastAsia="仿宋_GB2312" w:cs="Times New Roman"/>
          <w:i w:val="0"/>
          <w:caps w:val="0"/>
          <w:color w:val="333333"/>
          <w:spacing w:val="0"/>
          <w:sz w:val="31"/>
          <w:szCs w:val="31"/>
          <w:shd w:val="clear" w:fill="FFFFFF"/>
          <w:lang w:val="en-US" w:eastAsia="zh-CN"/>
        </w:rPr>
        <w:t>桂林市安全生产监察支队</w:t>
      </w:r>
      <w:r>
        <w:rPr>
          <w:rFonts w:hint="eastAsia" w:ascii="Times New Roman" w:hAnsi="Times New Roman" w:eastAsia="仿宋_GB2312" w:cs="Times New Roman"/>
          <w:i w:val="0"/>
          <w:caps w:val="0"/>
          <w:color w:val="333333"/>
          <w:spacing w:val="0"/>
          <w:sz w:val="31"/>
          <w:szCs w:val="31"/>
          <w:shd w:val="clear" w:fill="FFFFFF"/>
        </w:rPr>
        <w:t>2023年收入预算</w:t>
      </w:r>
      <w:r>
        <w:rPr>
          <w:rFonts w:hint="eastAsia" w:ascii="Times New Roman" w:hAnsi="Times New Roman" w:eastAsia="仿宋_GB2312" w:cs="Times New Roman"/>
          <w:i w:val="0"/>
          <w:caps w:val="0"/>
          <w:color w:val="333333"/>
          <w:spacing w:val="0"/>
          <w:sz w:val="31"/>
          <w:szCs w:val="31"/>
          <w:shd w:val="clear" w:fill="FFFFFF"/>
          <w:lang w:val="en-US" w:eastAsia="zh-CN"/>
        </w:rPr>
        <w:t>269.45</w:t>
      </w:r>
      <w:r>
        <w:rPr>
          <w:rFonts w:hint="eastAsia" w:ascii="Times New Roman" w:hAnsi="Times New Roman" w:eastAsia="仿宋_GB2312" w:cs="Times New Roman"/>
          <w:i w:val="0"/>
          <w:caps w:val="0"/>
          <w:color w:val="333333"/>
          <w:spacing w:val="0"/>
          <w:sz w:val="31"/>
          <w:szCs w:val="31"/>
          <w:shd w:val="clear" w:fill="FFFFFF"/>
        </w:rPr>
        <w:t>万元,同比202</w:t>
      </w:r>
      <w:r>
        <w:rPr>
          <w:rFonts w:hint="eastAsia" w:ascii="Times New Roman" w:hAnsi="Times New Roman" w:eastAsia="仿宋_GB2312" w:cs="Times New Roman"/>
          <w:i w:val="0"/>
          <w:caps w:val="0"/>
          <w:color w:val="333333"/>
          <w:spacing w:val="0"/>
          <w:sz w:val="31"/>
          <w:szCs w:val="31"/>
          <w:shd w:val="clear" w:fill="FFFFFF"/>
          <w:lang w:val="en-US" w:eastAsia="zh-CN"/>
        </w:rPr>
        <w:t>2</w:t>
      </w:r>
      <w:r>
        <w:rPr>
          <w:rFonts w:hint="eastAsia" w:ascii="Times New Roman" w:hAnsi="Times New Roman" w:eastAsia="仿宋_GB2312" w:cs="Times New Roman"/>
          <w:i w:val="0"/>
          <w:caps w:val="0"/>
          <w:color w:val="333333"/>
          <w:spacing w:val="0"/>
          <w:sz w:val="31"/>
          <w:szCs w:val="31"/>
          <w:shd w:val="clear" w:fill="FFFFFF"/>
        </w:rPr>
        <w:t>年</w:t>
      </w:r>
      <w:r>
        <w:rPr>
          <w:rFonts w:hint="eastAsia" w:ascii="Times New Roman" w:hAnsi="Times New Roman" w:eastAsia="仿宋_GB2312" w:cs="Times New Roman"/>
          <w:i w:val="0"/>
          <w:caps w:val="0"/>
          <w:color w:val="333333"/>
          <w:spacing w:val="0"/>
          <w:sz w:val="31"/>
          <w:szCs w:val="31"/>
          <w:shd w:val="clear" w:fill="FFFFFF"/>
          <w:lang w:eastAsia="zh-CN"/>
        </w:rPr>
        <w:t>增加</w:t>
      </w:r>
      <w:r>
        <w:rPr>
          <w:rFonts w:hint="eastAsia" w:ascii="Times New Roman" w:hAnsi="Times New Roman" w:eastAsia="仿宋_GB2312" w:cs="Times New Roman"/>
          <w:i w:val="0"/>
          <w:caps w:val="0"/>
          <w:color w:val="333333"/>
          <w:spacing w:val="0"/>
          <w:sz w:val="31"/>
          <w:szCs w:val="31"/>
          <w:shd w:val="clear" w:fill="FFFFFF"/>
          <w:lang w:val="en-US" w:eastAsia="zh-CN"/>
        </w:rPr>
        <w:t>0.64</w:t>
      </w:r>
      <w:r>
        <w:rPr>
          <w:rFonts w:hint="eastAsia" w:ascii="Times New Roman" w:hAnsi="Times New Roman" w:eastAsia="仿宋_GB2312" w:cs="Times New Roman"/>
          <w:i w:val="0"/>
          <w:caps w:val="0"/>
          <w:color w:val="333333"/>
          <w:spacing w:val="0"/>
          <w:sz w:val="31"/>
          <w:szCs w:val="31"/>
          <w:shd w:val="clear" w:fill="FFFFFF"/>
        </w:rPr>
        <w:t>万元，</w:t>
      </w:r>
      <w:r>
        <w:rPr>
          <w:rFonts w:hint="eastAsia" w:ascii="Times New Roman" w:hAnsi="Times New Roman" w:eastAsia="仿宋_GB2312" w:cs="Times New Roman"/>
          <w:i w:val="0"/>
          <w:caps w:val="0"/>
          <w:color w:val="333333"/>
          <w:spacing w:val="0"/>
          <w:sz w:val="31"/>
          <w:szCs w:val="31"/>
          <w:shd w:val="clear" w:fill="FFFFFF"/>
          <w:lang w:eastAsia="zh-CN"/>
        </w:rPr>
        <w:t>上升</w:t>
      </w:r>
      <w:r>
        <w:rPr>
          <w:rFonts w:hint="eastAsia" w:ascii="Times New Roman" w:hAnsi="Times New Roman" w:eastAsia="仿宋_GB2312" w:cs="Times New Roman"/>
          <w:i w:val="0"/>
          <w:caps w:val="0"/>
          <w:color w:val="333333"/>
          <w:spacing w:val="0"/>
          <w:sz w:val="31"/>
          <w:szCs w:val="31"/>
          <w:shd w:val="clear" w:fill="FFFFFF"/>
          <w:lang w:val="en-US" w:eastAsia="zh-CN"/>
        </w:rPr>
        <w:t>0.2</w:t>
      </w:r>
      <w:r>
        <w:rPr>
          <w:rFonts w:hint="eastAsia" w:ascii="Times New Roman" w:hAnsi="Times New Roman" w:eastAsia="仿宋_GB2312" w:cs="Times New Roman"/>
          <w:i w:val="0"/>
          <w:caps w:val="0"/>
          <w:color w:val="333333"/>
          <w:spacing w:val="0"/>
          <w:sz w:val="31"/>
          <w:szCs w:val="31"/>
          <w:shd w:val="clear" w:fill="FFFFFF"/>
        </w:rPr>
        <w:t>%；其中一般预算拨款</w:t>
      </w:r>
      <w:r>
        <w:rPr>
          <w:rFonts w:hint="eastAsia" w:ascii="Times New Roman" w:hAnsi="Times New Roman" w:eastAsia="仿宋_GB2312" w:cs="Times New Roman"/>
          <w:i w:val="0"/>
          <w:caps w:val="0"/>
          <w:color w:val="333333"/>
          <w:spacing w:val="0"/>
          <w:sz w:val="31"/>
          <w:szCs w:val="31"/>
          <w:shd w:val="clear" w:fill="FFFFFF"/>
          <w:lang w:val="en-US" w:eastAsia="zh-CN"/>
        </w:rPr>
        <w:t>250.21</w:t>
      </w:r>
      <w:r>
        <w:rPr>
          <w:rFonts w:hint="eastAsia" w:ascii="Times New Roman" w:hAnsi="Times New Roman" w:eastAsia="仿宋_GB2312" w:cs="Times New Roman"/>
          <w:i w:val="0"/>
          <w:caps w:val="0"/>
          <w:color w:val="333333"/>
          <w:spacing w:val="0"/>
          <w:sz w:val="31"/>
          <w:szCs w:val="31"/>
          <w:shd w:val="clear" w:fill="FFFFFF"/>
        </w:rPr>
        <w:t>万元,同比202</w:t>
      </w:r>
      <w:r>
        <w:rPr>
          <w:rFonts w:hint="eastAsia" w:ascii="Times New Roman" w:hAnsi="Times New Roman" w:eastAsia="仿宋_GB2312" w:cs="Times New Roman"/>
          <w:i w:val="0"/>
          <w:caps w:val="0"/>
          <w:color w:val="333333"/>
          <w:spacing w:val="0"/>
          <w:sz w:val="31"/>
          <w:szCs w:val="31"/>
          <w:shd w:val="clear" w:fill="FFFFFF"/>
          <w:lang w:val="en-US" w:eastAsia="zh-CN"/>
        </w:rPr>
        <w:t>2</w:t>
      </w:r>
      <w:r>
        <w:rPr>
          <w:rFonts w:hint="eastAsia" w:ascii="Times New Roman" w:hAnsi="Times New Roman" w:eastAsia="仿宋_GB2312" w:cs="Times New Roman"/>
          <w:i w:val="0"/>
          <w:caps w:val="0"/>
          <w:color w:val="333333"/>
          <w:spacing w:val="0"/>
          <w:sz w:val="31"/>
          <w:szCs w:val="31"/>
          <w:shd w:val="clear" w:fill="FFFFFF"/>
        </w:rPr>
        <w:t>年</w:t>
      </w:r>
      <w:r>
        <w:rPr>
          <w:rFonts w:hint="eastAsia" w:ascii="Times New Roman" w:hAnsi="Times New Roman" w:eastAsia="仿宋_GB2312" w:cs="Times New Roman"/>
          <w:i w:val="0"/>
          <w:caps w:val="0"/>
          <w:color w:val="333333"/>
          <w:spacing w:val="0"/>
          <w:sz w:val="31"/>
          <w:szCs w:val="31"/>
          <w:shd w:val="clear" w:fill="FFFFFF"/>
          <w:lang w:eastAsia="zh-CN"/>
        </w:rPr>
        <w:t>减少</w:t>
      </w:r>
      <w:r>
        <w:rPr>
          <w:rFonts w:hint="eastAsia" w:ascii="Times New Roman" w:hAnsi="Times New Roman" w:eastAsia="仿宋_GB2312" w:cs="Times New Roman"/>
          <w:i w:val="0"/>
          <w:caps w:val="0"/>
          <w:color w:val="333333"/>
          <w:spacing w:val="0"/>
          <w:sz w:val="31"/>
          <w:szCs w:val="31"/>
          <w:shd w:val="clear" w:fill="FFFFFF"/>
          <w:lang w:val="en-US" w:eastAsia="zh-CN"/>
        </w:rPr>
        <w:t>18.6</w:t>
      </w:r>
      <w:r>
        <w:rPr>
          <w:rFonts w:hint="eastAsia" w:ascii="Times New Roman" w:hAnsi="Times New Roman" w:eastAsia="仿宋_GB2312" w:cs="Times New Roman"/>
          <w:i w:val="0"/>
          <w:caps w:val="0"/>
          <w:color w:val="333333"/>
          <w:spacing w:val="0"/>
          <w:sz w:val="31"/>
          <w:szCs w:val="31"/>
          <w:shd w:val="clear" w:fill="FFFFFF"/>
        </w:rPr>
        <w:t>万元，</w:t>
      </w:r>
      <w:r>
        <w:rPr>
          <w:rFonts w:hint="eastAsia" w:ascii="Times New Roman" w:hAnsi="Times New Roman" w:eastAsia="仿宋_GB2312" w:cs="Times New Roman"/>
          <w:i w:val="0"/>
          <w:caps w:val="0"/>
          <w:color w:val="333333"/>
          <w:spacing w:val="0"/>
          <w:sz w:val="31"/>
          <w:szCs w:val="31"/>
          <w:shd w:val="clear" w:fill="FFFFFF"/>
          <w:lang w:eastAsia="zh-CN"/>
        </w:rPr>
        <w:t>下降</w:t>
      </w:r>
      <w:r>
        <w:rPr>
          <w:rFonts w:hint="eastAsia" w:ascii="Times New Roman" w:hAnsi="Times New Roman" w:eastAsia="仿宋_GB2312" w:cs="Times New Roman"/>
          <w:i w:val="0"/>
          <w:caps w:val="0"/>
          <w:color w:val="333333"/>
          <w:spacing w:val="0"/>
          <w:sz w:val="31"/>
          <w:szCs w:val="31"/>
          <w:shd w:val="clear" w:fill="FFFFFF"/>
          <w:lang w:val="en-US" w:eastAsia="zh-CN"/>
        </w:rPr>
        <w:t>6.92</w:t>
      </w:r>
      <w:r>
        <w:rPr>
          <w:rFonts w:hint="eastAsia" w:ascii="Times New Roman" w:hAnsi="Times New Roman" w:eastAsia="仿宋_GB2312" w:cs="Times New Roman"/>
          <w:i w:val="0"/>
          <w:caps w:val="0"/>
          <w:color w:val="333333"/>
          <w:spacing w:val="0"/>
          <w:sz w:val="31"/>
          <w:szCs w:val="31"/>
          <w:shd w:val="clear" w:fill="FFFFFF"/>
        </w:rPr>
        <w:t>%</w:t>
      </w:r>
      <w:r>
        <w:rPr>
          <w:rFonts w:hint="eastAsia" w:ascii="Times New Roman" w:hAnsi="Times New Roman" w:eastAsia="仿宋_GB2312" w:cs="Times New Roman"/>
          <w:i w:val="0"/>
          <w:caps w:val="0"/>
          <w:color w:val="333333"/>
          <w:spacing w:val="0"/>
          <w:sz w:val="31"/>
          <w:szCs w:val="31"/>
          <w:shd w:val="clear" w:fill="FFFFFF"/>
          <w:lang w:eastAsia="zh-CN"/>
        </w:rPr>
        <w:t>，新增政府性基金支出</w:t>
      </w:r>
      <w:r>
        <w:rPr>
          <w:rFonts w:hint="eastAsia" w:ascii="Times New Roman" w:hAnsi="Times New Roman" w:eastAsia="仿宋_GB2312" w:cs="Times New Roman"/>
          <w:i w:val="0"/>
          <w:caps w:val="0"/>
          <w:color w:val="333333"/>
          <w:spacing w:val="0"/>
          <w:sz w:val="31"/>
          <w:szCs w:val="31"/>
          <w:shd w:val="clear" w:fill="FFFFFF"/>
          <w:lang w:val="en-US" w:eastAsia="zh-CN"/>
        </w:rPr>
        <w:t>19.24万元</w:t>
      </w:r>
      <w:r>
        <w:rPr>
          <w:rFonts w:hint="eastAsia" w:ascii="Times New Roman" w:hAnsi="Times New Roman" w:eastAsia="仿宋_GB2312" w:cs="Times New Roman"/>
          <w:i w:val="0"/>
          <w:caps w:val="0"/>
          <w:color w:val="333333"/>
          <w:spacing w:val="0"/>
          <w:sz w:val="31"/>
          <w:szCs w:val="31"/>
          <w:shd w:val="clear" w:fill="FFFFFF"/>
        </w:rPr>
        <w:t>。</w:t>
      </w:r>
      <w:r>
        <w:rPr>
          <w:rFonts w:hint="eastAsia" w:ascii="Times New Roman" w:hAnsi="Times New Roman" w:eastAsia="仿宋_GB2312" w:cs="Times New Roman"/>
          <w:i w:val="0"/>
          <w:caps w:val="0"/>
          <w:color w:val="333333"/>
          <w:spacing w:val="0"/>
          <w:sz w:val="31"/>
          <w:szCs w:val="31"/>
          <w:shd w:val="clear" w:fill="FFFFFF"/>
          <w:lang w:eastAsia="zh-CN"/>
        </w:rPr>
        <w:t>收入预算增加主要</w:t>
      </w:r>
      <w:r>
        <w:rPr>
          <w:rFonts w:hint="eastAsia" w:ascii="Times New Roman" w:hAnsi="Times New Roman" w:eastAsia="仿宋_GB2312" w:cs="Times New Roman"/>
          <w:i w:val="0"/>
          <w:caps w:val="0"/>
          <w:color w:val="333333"/>
          <w:spacing w:val="0"/>
          <w:sz w:val="31"/>
          <w:szCs w:val="31"/>
          <w:shd w:val="clear" w:fill="FFFFFF"/>
        </w:rPr>
        <w:t>原因：202</w:t>
      </w:r>
      <w:r>
        <w:rPr>
          <w:rFonts w:hint="eastAsia" w:ascii="Times New Roman" w:hAnsi="Times New Roman" w:eastAsia="仿宋_GB2312" w:cs="Times New Roman"/>
          <w:i w:val="0"/>
          <w:caps w:val="0"/>
          <w:color w:val="333333"/>
          <w:spacing w:val="0"/>
          <w:sz w:val="31"/>
          <w:szCs w:val="31"/>
          <w:shd w:val="clear" w:fill="FFFFFF"/>
          <w:lang w:val="en-US" w:eastAsia="zh-CN"/>
        </w:rPr>
        <w:t>2</w:t>
      </w:r>
      <w:r>
        <w:rPr>
          <w:rFonts w:hint="eastAsia" w:ascii="Times New Roman" w:hAnsi="Times New Roman" w:eastAsia="仿宋_GB2312" w:cs="Times New Roman"/>
          <w:i w:val="0"/>
          <w:caps w:val="0"/>
          <w:color w:val="333333"/>
          <w:spacing w:val="0"/>
          <w:sz w:val="31"/>
          <w:szCs w:val="31"/>
          <w:shd w:val="clear" w:fill="FFFFFF"/>
        </w:rPr>
        <w:t>年</w:t>
      </w:r>
      <w:r>
        <w:rPr>
          <w:rFonts w:hint="eastAsia" w:ascii="Times New Roman" w:hAnsi="Times New Roman" w:eastAsia="仿宋_GB2312" w:cs="Times New Roman"/>
          <w:i w:val="0"/>
          <w:caps w:val="0"/>
          <w:color w:val="333333"/>
          <w:spacing w:val="0"/>
          <w:sz w:val="31"/>
          <w:szCs w:val="31"/>
          <w:shd w:val="clear" w:fill="FFFFFF"/>
          <w:lang w:val="en-US" w:eastAsia="zh-CN"/>
        </w:rPr>
        <w:t>桂林市安全生产监察支队</w:t>
      </w:r>
      <w:r>
        <w:rPr>
          <w:rFonts w:hint="eastAsia" w:ascii="Times New Roman" w:hAnsi="Times New Roman" w:eastAsia="仿宋_GB2312" w:cs="Times New Roman"/>
          <w:i w:val="0"/>
          <w:caps w:val="0"/>
          <w:color w:val="333333"/>
          <w:spacing w:val="0"/>
          <w:sz w:val="31"/>
          <w:szCs w:val="31"/>
          <w:shd w:val="clear" w:fill="FFFFFF"/>
          <w:lang w:eastAsia="zh-CN"/>
        </w:rPr>
        <w:t>七名同志晋级，两名同志由一级科员晋升为四级主任科员</w:t>
      </w:r>
      <w:r>
        <w:rPr>
          <w:rFonts w:hint="eastAsia" w:ascii="Times New Roman" w:hAnsi="Times New Roman" w:eastAsia="仿宋_GB2312" w:cs="Times New Roman"/>
          <w:i w:val="0"/>
          <w:caps w:val="0"/>
          <w:color w:val="333333"/>
          <w:spacing w:val="0"/>
          <w:sz w:val="31"/>
          <w:szCs w:val="31"/>
          <w:shd w:val="clear" w:fill="FFFFFF"/>
        </w:rPr>
        <w:t>。</w:t>
      </w:r>
    </w:p>
    <w:p>
      <w:pPr>
        <w:pStyle w:val="5"/>
        <w:spacing w:beforeAutospacing="0" w:afterAutospacing="0" w:line="560" w:lineRule="exact"/>
        <w:ind w:firstLine="643" w:firstLineChars="200"/>
        <w:rPr>
          <w:rFonts w:hint="default"/>
          <w:sz w:val="32"/>
          <w:szCs w:val="32"/>
        </w:rPr>
      </w:pPr>
      <w:bookmarkStart w:id="3" w:name="_Toc92033865"/>
      <w:r>
        <w:rPr>
          <w:rFonts w:hint="eastAsia"/>
          <w:sz w:val="32"/>
          <w:szCs w:val="32"/>
          <w:lang w:eastAsia="zh-CN"/>
        </w:rPr>
        <w:t>三</w:t>
      </w:r>
      <w:r>
        <w:rPr>
          <w:sz w:val="32"/>
          <w:szCs w:val="32"/>
        </w:rPr>
        <w:t>、支出预算说明</w:t>
      </w:r>
      <w:bookmarkEnd w:id="3"/>
    </w:p>
    <w:p>
      <w:pPr>
        <w:snapToGrid w:val="0"/>
        <w:spacing w:line="560" w:lineRule="exact"/>
        <w:ind w:firstLine="643" w:firstLineChars="200"/>
        <w:rPr>
          <w:rFonts w:ascii="宋体" w:hAnsi="宋体" w:cs="宋体"/>
          <w:b/>
          <w:snapToGrid w:val="0"/>
          <w:color w:val="000000"/>
          <w:kern w:val="0"/>
          <w:sz w:val="32"/>
          <w:szCs w:val="32"/>
        </w:rPr>
      </w:pPr>
      <w:r>
        <w:rPr>
          <w:rFonts w:hint="eastAsia" w:ascii="宋体" w:hAnsi="宋体" w:cs="宋体"/>
          <w:b/>
          <w:snapToGrid w:val="0"/>
          <w:color w:val="000000"/>
          <w:kern w:val="0"/>
          <w:sz w:val="32"/>
          <w:szCs w:val="32"/>
        </w:rPr>
        <w:t>(一)支出预算总体说明</w:t>
      </w:r>
    </w:p>
    <w:p>
      <w:pPr>
        <w:spacing w:line="560" w:lineRule="exact"/>
        <w:ind w:firstLine="64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宋体" w:hAnsi="宋体" w:cs="宋体"/>
          <w:sz w:val="32"/>
          <w:szCs w:val="32"/>
        </w:rPr>
        <w:t>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023年支出预算269.45万元，同比2022年增加0.64万元，上升0.2%。其中：基本支出 248.91万元，占支出总预算92.38% ，同比2022年增加4.04万元，上升1.6%，增加原因为2022年桂林市安全生产监察支队七名同志晋级，两名同志由一级科员晋升为四级主任科员；项目支出20.54万元，占支出总预算7.62%，同比2022年减少3.4万元，下降15.02%。</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（一）按支出功能分类科目划分，共分为四类:</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1.社会保障和就业支出类科目36.15万元，占支出预算13.42％，同比增加0.61万元，上升1.72％。</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2.卫生健康支出类科目20.62万元，占支出预算7.65％，同比增加0.36万元，上升1.78％。</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3.住房保障支出类科目17.42万元，占支出预算6.47％，同比增加0.3万元，上升1.75％。</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4.灾害防治及应用管理支出类科目176.02万元，占支出预算65.33％，同比上升2.77万元，上升1.6％。</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（二）、按支出结构分类科目划分，分为基本支出预算和项目支出预算。</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⑴基本支出预算</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基本支出 248.91万元，占支出总预算92.38% ，同比2022年增加4.04万元，上升1.65%。</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①工资福利支出预算221.50万元，占支出总预算  82.2%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，同比增加3.81万元，上升1.75%。</w:t>
      </w:r>
    </w:p>
    <w:p>
      <w:pPr>
        <w:spacing w:line="560" w:lineRule="exact"/>
        <w:ind w:firstLine="620" w:firstLineChars="20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②商品和服务支出预算27.41万元,同比增加5.43万元，上升24.7</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③对个人和家庭的补助支出预算</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0 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万元，占支出总预算  </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0 %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⑵项目支出预算</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项目支出20.54万元，占支出总预算7.62%，同比2022年减少3.4万元，下降15.02%。</w:t>
      </w:r>
    </w:p>
    <w:p>
      <w:pPr>
        <w:spacing w:line="560" w:lineRule="exact"/>
        <w:ind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①工资福利支出1.3万元，占支出总预算0.48%；。</w:t>
      </w:r>
    </w:p>
    <w:p>
      <w:pPr>
        <w:spacing w:line="560" w:lineRule="exact"/>
        <w:ind w:firstLine="620" w:firstLineChars="20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②商品和服务支出19.24万元，占支出总预算7.14 %。</w:t>
      </w:r>
    </w:p>
    <w:p>
      <w:pPr>
        <w:autoSpaceDE w:val="0"/>
        <w:autoSpaceDN w:val="0"/>
        <w:adjustRightInd w:val="0"/>
        <w:spacing w:line="586" w:lineRule="exact"/>
        <w:ind w:firstLine="627" w:firstLineChars="196"/>
        <w:rPr>
          <w:rFonts w:eastAsia="黑体"/>
          <w:kern w:val="0"/>
          <w:sz w:val="32"/>
          <w:szCs w:val="32"/>
        </w:rPr>
      </w:pPr>
      <w:bookmarkStart w:id="4" w:name="_Toc92033866"/>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spacing w:line="560" w:lineRule="exact"/>
        <w:ind w:firstLine="620" w:firstLineChars="200"/>
        <w:rPr>
          <w:rFonts w:hint="eastAsia"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政拨款收入</w:t>
      </w:r>
      <w:r>
        <w:rPr>
          <w:rFonts w:hint="eastAsia" w:eastAsia="仿宋_GB2312" w:cs="Times New Roman"/>
          <w:i w:val="0"/>
          <w:caps w:val="0"/>
          <w:color w:val="333333"/>
          <w:spacing w:val="0"/>
          <w:kern w:val="2"/>
          <w:sz w:val="31"/>
          <w:szCs w:val="31"/>
          <w:shd w:val="clear" w:fill="FFFFFF"/>
          <w:lang w:val="en-US" w:eastAsia="zh-CN" w:bidi="ar-SA"/>
        </w:rPr>
        <w:t>情况说明</w:t>
      </w:r>
    </w:p>
    <w:p>
      <w:pPr>
        <w:spacing w:line="560" w:lineRule="exact"/>
        <w:ind w:firstLine="620" w:firstLineChars="20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总预算269.45万元</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同比增加</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0.64万元，上升0.2%。其中：一般公共预算拨款250.21万元</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同比减少18.6万元，下降6.92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。减少主要原因：安全生产监管监察执法监察执法检查办案项目经费19.24万元，经费来源由一般公共预算调整为政府性基金。  </w:t>
      </w:r>
    </w:p>
    <w:p>
      <w:pPr>
        <w:spacing w:line="560" w:lineRule="exact"/>
        <w:ind w:firstLine="620" w:firstLineChars="20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财政拨款支出预算情况说明</w:t>
      </w:r>
    </w:p>
    <w:p>
      <w:pPr>
        <w:spacing w:line="560" w:lineRule="exact"/>
        <w:ind w:firstLine="620" w:firstLineChars="200"/>
        <w:rPr>
          <w:rFonts w:hint="default" w:ascii="Helvetica" w:hAnsi="Helvetica" w:eastAsia="Helvetica" w:cs="Helvetica"/>
          <w:i w:val="0"/>
          <w:caps w:val="0"/>
          <w:color w:val="333333"/>
          <w:spacing w:val="0"/>
          <w:sz w:val="24"/>
          <w:szCs w:val="24"/>
        </w:rPr>
      </w:pP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202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3年财政拨款支出总预算269.45万元</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同比增加</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0.64万元，上升0.2%。基本支出 248.91万元，占支出总预算 92.38</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，同比增加4.06</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万元，上升1.6</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 xml:space="preserve">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；项目支出20.54万元，占支出总预算7.62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，同比减少3.4万元，下降14.2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w:t>
      </w:r>
    </w:p>
    <w:p>
      <w:pPr>
        <w:numPr>
          <w:ilvl w:val="0"/>
          <w:numId w:val="1"/>
        </w:numPr>
        <w:autoSpaceDE w:val="0"/>
        <w:autoSpaceDN w:val="0"/>
        <w:adjustRightInd w:val="0"/>
        <w:spacing w:line="586" w:lineRule="exact"/>
        <w:ind w:left="-147" w:leftChars="-70" w:firstLine="784" w:firstLineChars="245"/>
        <w:rPr>
          <w:rFonts w:hAnsi="黑体" w:eastAsia="黑体"/>
          <w:sz w:val="32"/>
          <w:szCs w:val="32"/>
        </w:rPr>
      </w:pPr>
      <w:r>
        <w:rPr>
          <w:rFonts w:hAnsi="黑体" w:eastAsia="黑体"/>
          <w:sz w:val="32"/>
          <w:szCs w:val="32"/>
        </w:rPr>
        <w:t>一般公共预算支出情况说明</w:t>
      </w:r>
    </w:p>
    <w:p>
      <w:pPr>
        <w:spacing w:line="560" w:lineRule="exact"/>
        <w:ind w:firstLine="620" w:firstLineChars="20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02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3年一般公共预算拨款250.21万元，同比减少18.6万元，下降6.92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。减少主要原因：安全生产监管监察执法监察执法检查办案项目经费19.24万元，经费来源由一般公共预算调整为政府性基金。  </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20" w:firstLineChars="200"/>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202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3年一般公共预算基本支出250.21万元，其中：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人员经费221.5万元，占支出总预算82.2</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，同比增加3.81万元，下上升1.75</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，主要包括：基本工资、津贴补贴、奖金、基本养老保险缴费、基本医疗保险缴费、其他社会保障缴费、职业年金缴费、住房公积金。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公用经费27.41万元，占支出总预算10.17</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，同比增加5.43万元，上升24.7</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，主要包括：办公费、印刷费、水费、电费、邮电费、差旅费、维修（护）费、会议费、培训费、公务接待费、工会经费、福利费、其他商品和服务支出。  </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（一）全口径预算安排的“三公”经费、会议和培训费说明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2023年全口径预算安排的“三公”经费、会议和培训费共0.64万元，同比持平。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（二）一般公共预算安排的“三公”经费、会议和培训费说明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三公”经费0.64万元，同比持平。其中：（1）因公出国（境）费用0万元，同比持平无变化；（2）公务接待费0.19万元，同比持平；（3）公务用车运行维护费0万元，同比持平；(4)公务用车购置费0万元，同比持平无变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2、会议费0.2万元，同比持平。。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会议费预算明细如下：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安全生产行政执法工作会议：0.2万元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会议类别:四类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会议地点:桂林市内</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参会人数:40人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会期:1天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会议次数:共一次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3、培训费0.26万元，同比持平。培训费预算明细如下：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①安全生产行政执法人员业务培训会：0.26万元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培训内容及次数:行政执法人员业务培训班1次。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培训时间：2023年10月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培训地点：桂林市内</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培训类别：各县（市、区）应急局分管执法大队领导、执法大队大队长及工作人员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参培人数：50人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培训天数：1天</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2023年安全生产监管监察执法检查办案经费19.24万元，经费来源为政府性基金，同比增加19.24万元，增加100%。</w:t>
      </w:r>
    </w:p>
    <w:p>
      <w:pPr>
        <w:rPr>
          <w:rFonts w:hint="eastAsia"/>
          <w:lang w:val="en-US" w:eastAsia="zh-CN"/>
        </w:rPr>
      </w:pPr>
      <w:r>
        <w:rPr>
          <w:rFonts w:ascii="黑体" w:hAnsi="宋体" w:eastAsia="黑体" w:cs="黑体"/>
          <w:i w:val="0"/>
          <w:caps w:val="0"/>
          <w:color w:val="333333"/>
          <w:spacing w:val="0"/>
          <w:sz w:val="31"/>
          <w:szCs w:val="31"/>
          <w:shd w:val="clear" w:fill="FFFFFF"/>
        </w:rPr>
        <w:t>九、</w:t>
      </w:r>
      <w:r>
        <w:rPr>
          <w:rFonts w:hint="eastAsia" w:ascii="黑体" w:hAnsi="宋体" w:eastAsia="黑体" w:cs="黑体"/>
          <w:i w:val="0"/>
          <w:caps w:val="0"/>
          <w:color w:val="333333"/>
          <w:spacing w:val="0"/>
          <w:sz w:val="31"/>
          <w:szCs w:val="31"/>
          <w:shd w:val="clear" w:fill="FFFFFF"/>
        </w:rPr>
        <w:t>国有资本经营预算情况说明</w:t>
      </w:r>
    </w:p>
    <w:bookmarkEnd w:id="4"/>
    <w:p>
      <w:pPr>
        <w:autoSpaceDE w:val="0"/>
        <w:autoSpaceDN w:val="0"/>
        <w:adjustRightInd w:val="0"/>
        <w:spacing w:line="586" w:lineRule="exact"/>
        <w:ind w:left="309" w:leftChars="147" w:firstLine="3" w:firstLineChars="1"/>
        <w:rPr>
          <w:rFonts w:hint="eastAsia" w:eastAsia="仿宋_GB2312" w:cs="Times New Roman"/>
          <w:i w:val="0"/>
          <w:caps w:val="0"/>
          <w:color w:val="333333"/>
          <w:spacing w:val="0"/>
          <w:kern w:val="2"/>
          <w:sz w:val="31"/>
          <w:szCs w:val="31"/>
          <w:shd w:val="clear" w:fill="FFFFFF"/>
          <w:lang w:val="en-US" w:eastAsia="zh-CN" w:bidi="ar-SA"/>
        </w:rPr>
      </w:pPr>
      <w:r>
        <w:rPr>
          <w:rFonts w:hint="eastAsia" w:eastAsia="仿宋_GB2312" w:cs="Times New Roman"/>
          <w:i w:val="0"/>
          <w:caps w:val="0"/>
          <w:color w:val="333333"/>
          <w:spacing w:val="0"/>
          <w:kern w:val="2"/>
          <w:sz w:val="31"/>
          <w:szCs w:val="31"/>
          <w:shd w:val="clear" w:fill="FFFFFF"/>
          <w:lang w:val="en-US" w:eastAsia="zh-CN" w:bidi="ar-SA"/>
        </w:rPr>
        <w:t>无。</w:t>
      </w:r>
    </w:p>
    <w:p>
      <w:pPr>
        <w:pStyle w:val="2"/>
        <w:rPr>
          <w:rFonts w:hint="eastAsia" w:eastAsia="仿宋_GB2312" w:cs="Times New Roman"/>
          <w:i w:val="0"/>
          <w:caps w:val="0"/>
          <w:color w:val="333333"/>
          <w:spacing w:val="0"/>
          <w:kern w:val="2"/>
          <w:sz w:val="31"/>
          <w:szCs w:val="31"/>
          <w:shd w:val="clear" w:fill="FFFFFF"/>
          <w:lang w:val="en-US" w:eastAsia="zh-CN" w:bidi="ar-SA"/>
        </w:rPr>
      </w:pPr>
    </w:p>
    <w:p>
      <w:pPr>
        <w:pStyle w:val="2"/>
        <w:rPr>
          <w:rFonts w:hint="eastAsia" w:eastAsia="仿宋_GB2312" w:cs="Times New Roman"/>
          <w:i w:val="0"/>
          <w:caps w:val="0"/>
          <w:color w:val="333333"/>
          <w:spacing w:val="0"/>
          <w:kern w:val="2"/>
          <w:sz w:val="31"/>
          <w:szCs w:val="31"/>
          <w:shd w:val="clear" w:fill="FFFFFF"/>
          <w:lang w:val="en-US" w:eastAsia="zh-CN" w:bidi="ar-SA"/>
        </w:rPr>
      </w:pPr>
    </w:p>
    <w:p>
      <w:pPr>
        <w:autoSpaceDE w:val="0"/>
        <w:autoSpaceDN w:val="0"/>
        <w:adjustRightInd w:val="0"/>
        <w:spacing w:line="586" w:lineRule="exact"/>
        <w:ind w:left="314" w:hanging="313" w:hangingChars="98"/>
        <w:rPr>
          <w:rFonts w:eastAsia="仿宋_GB2312"/>
          <w:sz w:val="32"/>
          <w:szCs w:val="32"/>
        </w:rPr>
      </w:pPr>
      <w:r>
        <w:rPr>
          <w:rFonts w:hAnsi="黑体" w:eastAsia="黑体"/>
          <w:sz w:val="32"/>
          <w:szCs w:val="32"/>
        </w:rPr>
        <w:t>十、其他重要事项情况说明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（一）</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单位运行经费情况说明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202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3年单位运行经费27.41万元，同比增加5.43万元，上升24.7</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。上升原因：</w:t>
      </w:r>
      <w:r>
        <w:rPr>
          <w:rFonts w:hint="default" w:ascii="Times New Roman" w:hAnsi="Times New Roman" w:eastAsia="仿宋_GB2312" w:cs="Times New Roman"/>
          <w:i w:val="0"/>
          <w:caps w:val="0"/>
          <w:color w:val="333333"/>
          <w:spacing w:val="0"/>
          <w:kern w:val="2"/>
          <w:sz w:val="31"/>
          <w:szCs w:val="31"/>
          <w:shd w:val="clear" w:fill="FFFFFF"/>
          <w:lang w:val="en-US" w:eastAsia="zh-CN" w:bidi="ar-SA"/>
        </w:rPr>
        <w:t>202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3年其它商品与服务支出有增加。具体列表如下：</w:t>
      </w:r>
    </w:p>
    <w:tbl>
      <w:tblPr>
        <w:tblStyle w:val="11"/>
        <w:tblW w:w="8040" w:type="dxa"/>
        <w:jc w:val="center"/>
        <w:tblInd w:w="208"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40"/>
        <w:gridCol w:w="1020"/>
        <w:gridCol w:w="4290"/>
        <w:gridCol w:w="159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735" w:hRule="atLeast"/>
          <w:jc w:val="center"/>
        </w:trPr>
        <w:tc>
          <w:tcPr>
            <w:tcW w:w="216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支出经济分类科目编码</w:t>
            </w:r>
          </w:p>
        </w:tc>
        <w:tc>
          <w:tcPr>
            <w:tcW w:w="4290" w:type="dxa"/>
            <w:tcBorders>
              <w:top w:val="single" w:color="000000" w:sz="6" w:space="0"/>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支出经济分类科目名称</w:t>
            </w:r>
          </w:p>
        </w:tc>
        <w:tc>
          <w:tcPr>
            <w:tcW w:w="1590" w:type="dxa"/>
            <w:tcBorders>
              <w:top w:val="single" w:color="000000" w:sz="6" w:space="0"/>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预算数(万元)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商品和服务支出</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27.41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01</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办公费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印刷费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07</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邮电费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11</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差旅费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4.18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13</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维修（护）费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15</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会议费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16</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培训费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17</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公务接待费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0.19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5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28</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工会经费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1.79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29</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福利费</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0.27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default"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39</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其它交通费用</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10.98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302</w:t>
            </w:r>
          </w:p>
        </w:tc>
        <w:tc>
          <w:tcPr>
            <w:tcW w:w="102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99</w:t>
            </w:r>
          </w:p>
        </w:tc>
        <w:tc>
          <w:tcPr>
            <w:tcW w:w="42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其它商品与服务支出</w:t>
            </w:r>
          </w:p>
        </w:tc>
        <w:tc>
          <w:tcPr>
            <w:tcW w:w="15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6</w:t>
            </w:r>
          </w:p>
        </w:tc>
      </w:tr>
    </w:tbl>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2023年政府采购预算总额0万元，同比持平；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货物类采购预算0万元，同比持平；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工程类采购类和服务类采购预算均为0万元，同比持平；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集中采购预算0万元，同比持平；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分散采购预算0万元，同比持平。</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截至202</w:t>
      </w:r>
      <w:r>
        <w:rPr>
          <w:rFonts w:hint="eastAsia" w:eastAsia="仿宋_GB2312" w:cs="Times New Roman"/>
          <w:i w:val="0"/>
          <w:caps w:val="0"/>
          <w:color w:val="333333"/>
          <w:spacing w:val="0"/>
          <w:kern w:val="2"/>
          <w:sz w:val="31"/>
          <w:szCs w:val="31"/>
          <w:shd w:val="clear" w:fill="FFFFFF"/>
          <w:lang w:val="en-US" w:eastAsia="zh-CN" w:bidi="ar-SA"/>
        </w:rPr>
        <w:t>2</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年12月31日，固定资产</w:t>
      </w:r>
      <w:r>
        <w:rPr>
          <w:rFonts w:hint="eastAsia" w:eastAsia="仿宋_GB2312" w:cs="Times New Roman"/>
          <w:i w:val="0"/>
          <w:caps w:val="0"/>
          <w:color w:val="333333"/>
          <w:spacing w:val="0"/>
          <w:kern w:val="2"/>
          <w:sz w:val="31"/>
          <w:szCs w:val="31"/>
          <w:shd w:val="clear" w:fill="FFFFFF"/>
          <w:lang w:val="en-US" w:eastAsia="zh-CN" w:bidi="ar-SA"/>
        </w:rPr>
        <w:t>8.1</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万元，无在建工程、长期投资、无形资产、公共基础设施、政府储备物资、文物文化资产、保障性住房及其他资产。无单位价值200 万元以上大型设备。</w:t>
      </w:r>
    </w:p>
    <w:p>
      <w:pPr>
        <w:autoSpaceDE w:val="0"/>
        <w:autoSpaceDN w:val="0"/>
        <w:adjustRightInd w:val="0"/>
        <w:snapToGrid w:val="0"/>
        <w:spacing w:line="586" w:lineRule="exact"/>
        <w:ind w:firstLine="315" w:firstLineChars="98"/>
        <w:rPr>
          <w:rFonts w:eastAsia="楷体_GB2312"/>
          <w:b/>
          <w:sz w:val="32"/>
          <w:szCs w:val="32"/>
        </w:rPr>
      </w:pPr>
      <w:bookmarkStart w:id="5" w:name="_Toc21339941"/>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586" w:lineRule="exact"/>
        <w:ind w:left="-147" w:leftChars="-70" w:firstLine="472" w:firstLineChars="147"/>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eastAsia="楷体_GB2312"/>
          <w:b/>
          <w:sz w:val="32"/>
          <w:szCs w:val="32"/>
          <w:lang w:val="en-US" w:eastAsia="zh-CN"/>
        </w:rPr>
        <w:t xml:space="preserve">  </w:t>
      </w: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本部门2023年部门预算所有项目均已编制绩效目标列入绩效考核范围。其中工作类项目安全生产监管监察执法检查办案经费项目：19.24万元（政府性基金），相关绩效目标情况详见预算公开表13表。</w:t>
      </w:r>
    </w:p>
    <w:p>
      <w:pPr>
        <w:pStyle w:val="6"/>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立项情况及依据：（1）《应急管理行政执法人员依法履职管理规定》第四条第一款规定应急管理部门应当按照本级人民政府的安排，梳理本部门行政执法依据，编制权责清单，将本部门依法承担的行政执法职责分解落实到所属执法机构和执法岗位。分解落实所属执法机构、执法岗位的执法职责，不得擅自增加或者减少本部门的行政执法权限。第二款规定应急管理部门应当制定安全生产年度监督检查计划，按照计划组织开展监督检查。同时，应急管理部门应当按照部署组织开展有关专项治理，依法组织查处违法行为和举报的事故隐患。应急管理部门应当统筹开展前述执法活动，确保对辖区内安全监管重点企业按照明确的时间周期固定开展“全覆盖”执法检查。（2）原国家安全监管总局关于印发《安全生产年度监督检查计划编制办法》的通知（安监总政法〔2017〕150号）；（3）《桂林市应急管理局2022年度安全生产监督检查工作计划》；（4）《广西壮族自治区安全生产委员会关于印发&lt;2022年度市级党委政府安全生产和消防工作考核细则及评分标准&gt;的通知》重点部门安全生产行政执法专项考核:对市级负有安全监管职责部门的安全生产行政执法情况考核。“1.未围绕执法检查重点事项进行有针对性执法检查的，扣0.2分；2.未完成市本级年度监管检查执法计划的，每少检查一家扣0.2分，此项最高扣完1分为止。3.加大安全监管执法力度（1分）。行政立案处罚率为40%及以上的，不扣分，为35%-39%的，扣0.1分，为30%-34%的，扣0.2分，以此类推。行政处罚率以应急管理部安全生产行政执法统计系统为准（行政处罚次数包括简易程序处罚、一般程序处罚、事故处罚和对单位主要负责人处罚四项内容）。”</w:t>
      </w:r>
    </w:p>
    <w:p>
      <w:pPr>
        <w:pStyle w:val="6"/>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实施进度计划：市财政下达预算批复指标后，在2023年度内完成各项经费支出。</w:t>
      </w:r>
    </w:p>
    <w:p>
      <w:pPr>
        <w:pStyle w:val="6"/>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auto"/>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年度目标：根据年度执法计划，依法履职，完成年度执法任务，落实上级工作指标。</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eastAsia="楷体_GB2312"/>
          <w:b/>
          <w:sz w:val="32"/>
          <w:szCs w:val="32"/>
        </w:rPr>
      </w:pPr>
      <w:bookmarkStart w:id="6" w:name="_GoBack"/>
      <w:bookmarkEnd w:id="6"/>
      <w:r>
        <w:rPr>
          <w:rFonts w:eastAsia="楷体_GB2312"/>
          <w:b/>
          <w:sz w:val="32"/>
          <w:szCs w:val="32"/>
        </w:rPr>
        <w:t>（五）工程类项目支出预算评审</w:t>
      </w:r>
    </w:p>
    <w:p>
      <w:pPr>
        <w:numPr>
          <w:ilvl w:val="0"/>
          <w:numId w:val="0"/>
        </w:numPr>
        <w:autoSpaceDE w:val="0"/>
        <w:autoSpaceDN w:val="0"/>
        <w:adjustRightInd w:val="0"/>
        <w:spacing w:line="586" w:lineRule="exact"/>
        <w:ind w:leftChars="77"/>
        <w:rPr>
          <w:rFonts w:hint="eastAsia" w:ascii="仿宋_GB2312" w:hAnsi="仿宋_GB2312" w:eastAsia="仿宋_GB2312" w:cs="仿宋_GB2312"/>
          <w:kern w:val="2"/>
          <w:sz w:val="32"/>
          <w:szCs w:val="32"/>
          <w:lang w:val="en-US" w:eastAsia="zh-CN" w:bidi="ar-SA"/>
        </w:rPr>
      </w:pPr>
      <w:r>
        <w:rPr>
          <w:rFonts w:hint="eastAsia" w:eastAsia="楷体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无。</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numPr>
          <w:ilvl w:val="0"/>
          <w:numId w:val="0"/>
        </w:numPr>
        <w:autoSpaceDE w:val="0"/>
        <w:autoSpaceDN w:val="0"/>
        <w:adjustRightInd w:val="0"/>
        <w:spacing w:line="586" w:lineRule="exact"/>
        <w:ind w:leftChars="77"/>
        <w:rPr>
          <w:rFonts w:ascii="宋体" w:hAnsi="宋体" w:cs="宋体"/>
          <w:color w:val="000000"/>
          <w:sz w:val="32"/>
          <w:szCs w:val="32"/>
        </w:rPr>
      </w:pPr>
      <w:r>
        <w:rPr>
          <w:rFonts w:hint="eastAsia" w:ascii="仿宋_GB2312" w:hAnsi="仿宋_GB2312" w:eastAsia="仿宋_GB2312" w:cs="仿宋_GB2312"/>
          <w:kern w:val="2"/>
          <w:sz w:val="32"/>
          <w:szCs w:val="32"/>
          <w:lang w:val="en-US" w:eastAsia="zh-CN" w:bidi="ar-SA"/>
        </w:rPr>
        <w:t>无。</w:t>
      </w:r>
    </w:p>
    <w:bookmarkEnd w:id="5"/>
    <w:p>
      <w:pPr>
        <w:autoSpaceDE w:val="0"/>
        <w:autoSpaceDN w:val="0"/>
        <w:adjustRightInd w:val="0"/>
        <w:spacing w:line="586" w:lineRule="exact"/>
        <w:ind w:firstLine="2707" w:firstLineChars="846"/>
        <w:rPr>
          <w:rFonts w:hAnsi="黑体"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（一）灾害防治及应急管理支出（类）应急管理事务（款）行政运行（项）：指单位用于保障机构正常运行、开展日常工作的基本支出。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（二）灾害防治及应急管理支出（类）应急管理事务（款）安全监管（项）：指开展安全生产监管执法检查业务工作发生的项目支出。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（三）社会保障和就业支出（类）行政事业单位离退休（款）机关事业单位基本养老保险缴费支出（项）：指用于单位缴纳基本养老保险费支出。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（四）社会保障和就业支出（类）行政事业单位离退休（款）机关事业单位职业年金缴费支出（项）：指用于单位缴纳职业年金支出。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（五）社会保障和就业支出（类）残疾人事业（款）残疾人就业和扶贫（项）：指用于缴纳残疾人就业保障金支出。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（六）卫生健康支出（类）行政事业单位医疗（款）行政单位医疗（项）：指单位职工基本医疗保险缴费支出。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（七）卫生健康支出（类）行政事业单位医疗（款）公务员医疗补助（项）：指公务员医疗补助缴费支出。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（八）住房保障（类）住房改革支出（款）住房公积金（项）：指职工住房公积金支出。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（九）基本支出：指为保障机构正常运转、完成日常 工作任务而发生的人员支出和公用支出。 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（十）项目支出：指在基本支出之外为完成特定行政任务和事业发展目标所发生的支出。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十一）“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Times New Roman" w:hAnsi="Times New Roman" w:eastAsia="仿宋_GB2312" w:cs="Times New Roman"/>
          <w:i w:val="0"/>
          <w:caps w:val="0"/>
          <w:color w:val="333333"/>
          <w:spacing w:val="0"/>
          <w:kern w:val="2"/>
          <w:sz w:val="31"/>
          <w:szCs w:val="31"/>
          <w:shd w:val="clear" w:fill="FFFFFF"/>
          <w:lang w:val="en-US" w:eastAsia="zh-CN" w:bidi="ar-SA"/>
        </w:rPr>
      </w:pPr>
      <w:r>
        <w:rPr>
          <w:rFonts w:hint="eastAsia" w:ascii="Times New Roman" w:hAnsi="Times New Roman" w:eastAsia="仿宋_GB2312" w:cs="Times New Roman"/>
          <w:i w:val="0"/>
          <w:caps w:val="0"/>
          <w:color w:val="333333"/>
          <w:spacing w:val="0"/>
          <w:kern w:val="2"/>
          <w:sz w:val="31"/>
          <w:szCs w:val="31"/>
          <w:shd w:val="clear" w:fill="FFFFFF"/>
          <w:lang w:val="en-US" w:eastAsia="zh-CN" w:bidi="ar-SA"/>
        </w:rPr>
        <w:t>(十二)机关运行经费：为保障单位运行用于购买货物和服务的各项资金，包括办公费、印刷费、水费、电费、邮电费、差旅费、维修（护）费、会议费、培训费、公务接待费、工会经费、福利费、公务用车运行维护费、其他交通费用和其他商品和服务支出。</w:t>
      </w:r>
    </w:p>
    <w:p>
      <w:pPr>
        <w:autoSpaceDE w:val="0"/>
        <w:autoSpaceDN w:val="0"/>
        <w:adjustRightInd w:val="0"/>
        <w:spacing w:line="586" w:lineRule="exact"/>
        <w:ind w:firstLine="1280" w:firstLineChars="400"/>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eastAsia="仿宋_GB2312"/>
          <w:sz w:val="32"/>
          <w:szCs w:val="32"/>
        </w:rPr>
        <w:t>十</w:t>
      </w:r>
      <w:r>
        <w:rPr>
          <w:rFonts w:hint="eastAsia" w:eastAsia="仿宋_GB2312"/>
          <w:sz w:val="32"/>
          <w:szCs w:val="32"/>
          <w:lang w:eastAsia="zh-CN"/>
        </w:rPr>
        <w:t>三</w:t>
      </w:r>
      <w:r>
        <w:rPr>
          <w:rFonts w:eastAsia="仿宋_GB2312"/>
          <w:sz w:val="32"/>
          <w:szCs w:val="32"/>
        </w:rPr>
        <w:t>、</w:t>
      </w:r>
      <w:r>
        <w:rPr>
          <w:rFonts w:hint="eastAsia" w:eastAsia="仿宋_GB2312"/>
          <w:sz w:val="32"/>
          <w:szCs w:val="32"/>
        </w:rPr>
        <w:t>重点项目支出绩效目标申报表</w:t>
      </w:r>
      <w:r>
        <w:rPr>
          <w:rFonts w:eastAsia="仿宋_GB2312"/>
          <w:sz w:val="32"/>
          <w:szCs w:val="32"/>
        </w:rPr>
        <w:t>（表1</w:t>
      </w:r>
      <w:r>
        <w:rPr>
          <w:rFonts w:hint="eastAsia" w:eastAsia="仿宋_GB2312"/>
          <w:sz w:val="32"/>
          <w:szCs w:val="32"/>
          <w:lang w:val="en-US" w:eastAsia="zh-CN"/>
        </w:rPr>
        <w:t>3</w:t>
      </w:r>
      <w:r>
        <w:rPr>
          <w:rFonts w:eastAsia="仿宋_GB2312"/>
          <w:sz w:val="32"/>
          <w:szCs w:val="32"/>
        </w:rPr>
        <w:t>）</w:t>
      </w:r>
    </w:p>
    <w:p>
      <w:pPr>
        <w:adjustRightInd w:val="0"/>
        <w:snapToGrid w:val="0"/>
        <w:spacing w:line="586" w:lineRule="exac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汉仪仿宋S">
    <w:altName w:val="仿宋"/>
    <w:panose1 w:val="00020600040101000101"/>
    <w:charset w:val="86"/>
    <w:family w:val="auto"/>
    <w:pitch w:val="default"/>
    <w:sig w:usb0="00000000" w:usb1="00000000" w:usb2="00000016" w:usb3="00000000" w:csb0="000400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3F577"/>
    <w:multiLevelType w:val="singleLevel"/>
    <w:tmpl w:val="6413F577"/>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7B"/>
    <w:rsid w:val="00301674"/>
    <w:rsid w:val="0054167C"/>
    <w:rsid w:val="0074437B"/>
    <w:rsid w:val="00927DFB"/>
    <w:rsid w:val="00BC2616"/>
    <w:rsid w:val="00BF5923"/>
    <w:rsid w:val="00E52907"/>
    <w:rsid w:val="00FC0D4B"/>
    <w:rsid w:val="02247AAF"/>
    <w:rsid w:val="039C2C21"/>
    <w:rsid w:val="03C020CD"/>
    <w:rsid w:val="07722A4D"/>
    <w:rsid w:val="0AB23847"/>
    <w:rsid w:val="0B46663E"/>
    <w:rsid w:val="0C123B2A"/>
    <w:rsid w:val="0DF576A9"/>
    <w:rsid w:val="10CE61FB"/>
    <w:rsid w:val="15171A3F"/>
    <w:rsid w:val="15550913"/>
    <w:rsid w:val="15835852"/>
    <w:rsid w:val="159A76AD"/>
    <w:rsid w:val="17197239"/>
    <w:rsid w:val="17AA2FE1"/>
    <w:rsid w:val="1ABC3535"/>
    <w:rsid w:val="1AED527B"/>
    <w:rsid w:val="1C2D2BB2"/>
    <w:rsid w:val="1CE66379"/>
    <w:rsid w:val="1DCC375D"/>
    <w:rsid w:val="268D7ECE"/>
    <w:rsid w:val="28E40FC5"/>
    <w:rsid w:val="2DFE321E"/>
    <w:rsid w:val="30A45A68"/>
    <w:rsid w:val="321A798F"/>
    <w:rsid w:val="321B5ED4"/>
    <w:rsid w:val="34A63DA5"/>
    <w:rsid w:val="34ED0EFD"/>
    <w:rsid w:val="38AD71A1"/>
    <w:rsid w:val="38E8708A"/>
    <w:rsid w:val="3A983FA0"/>
    <w:rsid w:val="3CB77DB8"/>
    <w:rsid w:val="3CBD0295"/>
    <w:rsid w:val="3CE45BAA"/>
    <w:rsid w:val="3E1C0663"/>
    <w:rsid w:val="3FFED00B"/>
    <w:rsid w:val="41243853"/>
    <w:rsid w:val="427066F7"/>
    <w:rsid w:val="44ED688F"/>
    <w:rsid w:val="45EF5263"/>
    <w:rsid w:val="47512C0A"/>
    <w:rsid w:val="47A21013"/>
    <w:rsid w:val="49DE21B1"/>
    <w:rsid w:val="4A3A6AB6"/>
    <w:rsid w:val="4B8939BF"/>
    <w:rsid w:val="4D214331"/>
    <w:rsid w:val="4D765EBB"/>
    <w:rsid w:val="4F3260FA"/>
    <w:rsid w:val="51822B4F"/>
    <w:rsid w:val="53B4224A"/>
    <w:rsid w:val="53E231DF"/>
    <w:rsid w:val="567EBFD0"/>
    <w:rsid w:val="56A3728C"/>
    <w:rsid w:val="5D3D256A"/>
    <w:rsid w:val="60DB016A"/>
    <w:rsid w:val="654A2DB7"/>
    <w:rsid w:val="66E30091"/>
    <w:rsid w:val="67533925"/>
    <w:rsid w:val="67AE57AE"/>
    <w:rsid w:val="6F3D66FF"/>
    <w:rsid w:val="709C13B3"/>
    <w:rsid w:val="71F8098C"/>
    <w:rsid w:val="72A4477B"/>
    <w:rsid w:val="72E56991"/>
    <w:rsid w:val="743C19A6"/>
    <w:rsid w:val="762A5496"/>
    <w:rsid w:val="792F5E0A"/>
    <w:rsid w:val="9F7B4D42"/>
    <w:rsid w:val="B7F7FC30"/>
    <w:rsid w:val="CE665928"/>
    <w:rsid w:val="DBF5C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4"/>
    <w:qFormat/>
    <w:uiPriority w:val="0"/>
    <w:pPr>
      <w:spacing w:beforeAutospacing="1" w:afterAutospacing="1"/>
      <w:jc w:val="left"/>
      <w:outlineLvl w:val="0"/>
    </w:pPr>
    <w:rPr>
      <w:rFonts w:hint="eastAsia" w:ascii="宋体" w:hAnsi="宋体"/>
      <w:b/>
      <w:kern w:val="44"/>
      <w:sz w:val="48"/>
      <w:szCs w:val="48"/>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6">
    <w:name w:val="Plain Text"/>
    <w:basedOn w:val="1"/>
    <w:qFormat/>
    <w:uiPriority w:val="0"/>
    <w:rPr>
      <w:rFonts w:ascii="宋体" w:hAnsi="Courier New"/>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标题 1 Char"/>
    <w:basedOn w:val="10"/>
    <w:link w:val="5"/>
    <w:qFormat/>
    <w:uiPriority w:val="0"/>
    <w:rPr>
      <w:rFonts w:ascii="宋体" w:hAnsi="宋体" w:eastAsia="宋体" w:cs="Times New Roman"/>
      <w:b/>
      <w:kern w:val="44"/>
      <w:sz w:val="48"/>
      <w:szCs w:val="48"/>
    </w:rPr>
  </w:style>
  <w:style w:type="paragraph" w:customStyle="1" w:styleId="15">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536</Words>
  <Characters>3060</Characters>
  <Lines>25</Lines>
  <Paragraphs>7</Paragraphs>
  <ScaleCrop>false</ScaleCrop>
  <LinksUpToDate>false</LinksUpToDate>
  <CharactersWithSpaces>3589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2022-12-28T08:54:00Z</dcterms:created>
  <dc:creator>XZM</dc:creator>
  <cp:lastModifiedBy>黄丽华</cp:lastModifiedBy>
  <cp:lastPrinted>2023-01-11T04:23:00Z</cp:lastPrinted>
  <dcterms:modified xsi:type="dcterms:W3CDTF">2023-03-30T03:22:24Z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